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938E1" w14:textId="12500C1E" w:rsidR="005731F4" w:rsidRPr="005731F4" w:rsidRDefault="005731F4" w:rsidP="005731F4">
      <w:pPr>
        <w:pBdr>
          <w:bottom w:val="single" w:sz="4" w:space="1" w:color="auto"/>
        </w:pBdr>
        <w:jc w:val="both"/>
        <w:rPr>
          <w:rFonts w:ascii="Times New Roman" w:hAnsi="Times New Roman" w:cs="Times New Roman"/>
          <w:b/>
          <w:bCs/>
          <w:snapToGrid w:val="0"/>
          <w:sz w:val="32"/>
          <w:szCs w:val="32"/>
          <w:lang w:eastAsia="en-US"/>
        </w:rPr>
      </w:pPr>
      <w:r w:rsidRPr="005731F4">
        <w:rPr>
          <w:rFonts w:ascii="Times New Roman" w:hAnsi="Times New Roman" w:cs="Times New Roman"/>
          <w:b/>
          <w:bCs/>
          <w:snapToGrid w:val="0"/>
          <w:sz w:val="32"/>
          <w:szCs w:val="32"/>
          <w:lang w:eastAsia="en-US"/>
        </w:rPr>
        <w:t>Karl Marx über die Menschenrechte</w:t>
      </w:r>
    </w:p>
    <w:p w14:paraId="6A0BDB19" w14:textId="77777777" w:rsidR="005731F4" w:rsidRDefault="005731F4" w:rsidP="005731F4">
      <w:pPr>
        <w:jc w:val="both"/>
        <w:rPr>
          <w:rFonts w:ascii="Times New Roman" w:hAnsi="Times New Roman" w:cs="Times New Roman"/>
          <w:snapToGrid w:val="0"/>
          <w:sz w:val="26"/>
          <w:szCs w:val="26"/>
          <w:lang w:eastAsia="en-US"/>
        </w:rPr>
        <w:sectPr w:rsidR="005731F4" w:rsidSect="00E238C7">
          <w:pgSz w:w="11906" w:h="16838"/>
          <w:pgMar w:top="680" w:right="907" w:bottom="624" w:left="1134" w:header="709" w:footer="709" w:gutter="0"/>
          <w:cols w:space="708"/>
          <w:docGrid w:linePitch="360"/>
        </w:sectPr>
      </w:pPr>
    </w:p>
    <w:p w14:paraId="291CB943" w14:textId="23ED84C9" w:rsidR="005731F4" w:rsidRPr="005731F4" w:rsidRDefault="005731F4" w:rsidP="005731F4">
      <w:pPr>
        <w:jc w:val="both"/>
        <w:rPr>
          <w:rFonts w:ascii="Times New Roman" w:hAnsi="Times New Roman" w:cs="Times New Roman"/>
          <w:snapToGrid w:val="0"/>
          <w:sz w:val="26"/>
          <w:szCs w:val="26"/>
          <w:lang w:eastAsia="en-US"/>
        </w:rPr>
      </w:pPr>
      <w:r w:rsidRPr="005731F4">
        <w:rPr>
          <w:rFonts w:ascii="Times New Roman" w:hAnsi="Times New Roman" w:cs="Times New Roman"/>
          <w:snapToGrid w:val="0"/>
          <w:sz w:val="26"/>
          <w:szCs w:val="26"/>
          <w:lang w:eastAsia="en-US"/>
        </w:rPr>
        <w:t xml:space="preserve">Vor allem konstatieren wir die Tatsache, dass die so genannten </w:t>
      </w:r>
      <w:r w:rsidRPr="005731F4">
        <w:rPr>
          <w:rFonts w:ascii="Times New Roman" w:hAnsi="Times New Roman" w:cs="Times New Roman"/>
          <w:i/>
          <w:snapToGrid w:val="0"/>
          <w:sz w:val="26"/>
          <w:szCs w:val="26"/>
          <w:lang w:eastAsia="en-US"/>
        </w:rPr>
        <w:t>Menschenrechte</w:t>
      </w:r>
      <w:r w:rsidRPr="005731F4">
        <w:rPr>
          <w:rFonts w:ascii="Times New Roman" w:hAnsi="Times New Roman" w:cs="Times New Roman"/>
          <w:snapToGrid w:val="0"/>
          <w:sz w:val="26"/>
          <w:szCs w:val="26"/>
          <w:lang w:eastAsia="en-US"/>
        </w:rPr>
        <w:t xml:space="preserve">, die </w:t>
      </w:r>
      <w:proofErr w:type="spellStart"/>
      <w:r w:rsidRPr="005731F4">
        <w:rPr>
          <w:rFonts w:ascii="Times New Roman" w:hAnsi="Times New Roman" w:cs="Times New Roman"/>
          <w:i/>
          <w:snapToGrid w:val="0"/>
          <w:sz w:val="26"/>
          <w:szCs w:val="26"/>
          <w:lang w:eastAsia="en-US"/>
        </w:rPr>
        <w:t>droits</w:t>
      </w:r>
      <w:proofErr w:type="spellEnd"/>
      <w:r w:rsidRPr="005731F4">
        <w:rPr>
          <w:rFonts w:ascii="Times New Roman" w:hAnsi="Times New Roman" w:cs="Times New Roman"/>
          <w:i/>
          <w:snapToGrid w:val="0"/>
          <w:sz w:val="26"/>
          <w:szCs w:val="26"/>
          <w:lang w:eastAsia="en-US"/>
        </w:rPr>
        <w:t xml:space="preserve"> de </w:t>
      </w:r>
      <w:proofErr w:type="spellStart"/>
      <w:r w:rsidRPr="005731F4">
        <w:rPr>
          <w:rFonts w:ascii="Times New Roman" w:hAnsi="Times New Roman" w:cs="Times New Roman"/>
          <w:i/>
          <w:snapToGrid w:val="0"/>
          <w:sz w:val="26"/>
          <w:szCs w:val="26"/>
          <w:lang w:eastAsia="en-US"/>
        </w:rPr>
        <w:t>l'homme</w:t>
      </w:r>
      <w:proofErr w:type="spellEnd"/>
      <w:r w:rsidRPr="005731F4">
        <w:rPr>
          <w:rFonts w:ascii="Times New Roman" w:hAnsi="Times New Roman" w:cs="Times New Roman"/>
          <w:snapToGrid w:val="0"/>
          <w:sz w:val="26"/>
          <w:szCs w:val="26"/>
          <w:lang w:eastAsia="en-US"/>
        </w:rPr>
        <w:t xml:space="preserve"> im Unterschied von den </w:t>
      </w:r>
      <w:proofErr w:type="spellStart"/>
      <w:r w:rsidRPr="005731F4">
        <w:rPr>
          <w:rFonts w:ascii="Times New Roman" w:hAnsi="Times New Roman" w:cs="Times New Roman"/>
          <w:i/>
          <w:snapToGrid w:val="0"/>
          <w:sz w:val="26"/>
          <w:szCs w:val="26"/>
          <w:lang w:eastAsia="en-US"/>
        </w:rPr>
        <w:t>droits</w:t>
      </w:r>
      <w:proofErr w:type="spellEnd"/>
      <w:r w:rsidRPr="005731F4">
        <w:rPr>
          <w:rFonts w:ascii="Times New Roman" w:hAnsi="Times New Roman" w:cs="Times New Roman"/>
          <w:i/>
          <w:snapToGrid w:val="0"/>
          <w:sz w:val="26"/>
          <w:szCs w:val="26"/>
          <w:lang w:eastAsia="en-US"/>
        </w:rPr>
        <w:t xml:space="preserve"> du </w:t>
      </w:r>
      <w:proofErr w:type="spellStart"/>
      <w:r w:rsidRPr="005731F4">
        <w:rPr>
          <w:rFonts w:ascii="Times New Roman" w:hAnsi="Times New Roman" w:cs="Times New Roman"/>
          <w:i/>
          <w:snapToGrid w:val="0"/>
          <w:sz w:val="26"/>
          <w:szCs w:val="26"/>
          <w:lang w:eastAsia="en-US"/>
        </w:rPr>
        <w:t>citoyen</w:t>
      </w:r>
      <w:proofErr w:type="spellEnd"/>
      <w:r w:rsidRPr="005731F4">
        <w:rPr>
          <w:rFonts w:ascii="Times New Roman" w:hAnsi="Times New Roman" w:cs="Times New Roman"/>
          <w:snapToGrid w:val="0"/>
          <w:sz w:val="26"/>
          <w:szCs w:val="26"/>
          <w:lang w:eastAsia="en-US"/>
        </w:rPr>
        <w:t xml:space="preserve">, nichts anderes sind als die Rechte des </w:t>
      </w:r>
      <w:r w:rsidRPr="005731F4">
        <w:rPr>
          <w:rFonts w:ascii="Times New Roman" w:hAnsi="Times New Roman" w:cs="Times New Roman"/>
          <w:i/>
          <w:snapToGrid w:val="0"/>
          <w:sz w:val="26"/>
          <w:szCs w:val="26"/>
          <w:lang w:eastAsia="en-US"/>
        </w:rPr>
        <w:t>Mitglieds der bürgerlichen Gesellschaft</w:t>
      </w:r>
      <w:r w:rsidRPr="005731F4">
        <w:rPr>
          <w:rFonts w:ascii="Times New Roman" w:hAnsi="Times New Roman" w:cs="Times New Roman"/>
          <w:snapToGrid w:val="0"/>
          <w:sz w:val="26"/>
          <w:szCs w:val="26"/>
          <w:lang w:eastAsia="en-US"/>
        </w:rPr>
        <w:t xml:space="preserve">, d. h. des egoistischen Menschen, des vom Menschen und vom Gemeinwesen getrennten Menschen. Die radikalste Konstitution, die Konstitution von 1793, mag sprechen:  </w:t>
      </w:r>
      <w:r w:rsidRPr="005731F4">
        <w:rPr>
          <w:rFonts w:ascii="Times New Roman" w:hAnsi="Times New Roman" w:cs="Times New Roman"/>
          <w:i/>
          <w:snapToGrid w:val="0"/>
          <w:sz w:val="26"/>
          <w:szCs w:val="26"/>
          <w:lang w:eastAsia="en-US"/>
        </w:rPr>
        <w:t>Erklärung der Menschen- und Bürgerrechte:</w:t>
      </w:r>
      <w:r w:rsidRPr="005731F4">
        <w:rPr>
          <w:rFonts w:ascii="Times New Roman" w:hAnsi="Times New Roman" w:cs="Times New Roman"/>
          <w:snapToGrid w:val="0"/>
          <w:sz w:val="26"/>
          <w:szCs w:val="26"/>
          <w:lang w:eastAsia="en-US"/>
        </w:rPr>
        <w:t xml:space="preserve"> Artikel 2: „Diese Rechte, etc., (die natürlichen und unantastbaren Rechte) sind: die Gleichheit, die </w:t>
      </w:r>
      <w:r w:rsidRPr="005731F4">
        <w:rPr>
          <w:rFonts w:ascii="Times New Roman" w:hAnsi="Times New Roman" w:cs="Times New Roman"/>
          <w:i/>
          <w:snapToGrid w:val="0"/>
          <w:sz w:val="26"/>
          <w:szCs w:val="26"/>
          <w:lang w:eastAsia="en-US"/>
        </w:rPr>
        <w:t>Freiheit</w:t>
      </w:r>
      <w:r w:rsidRPr="005731F4">
        <w:rPr>
          <w:rFonts w:ascii="Times New Roman" w:hAnsi="Times New Roman" w:cs="Times New Roman"/>
          <w:snapToGrid w:val="0"/>
          <w:sz w:val="26"/>
          <w:szCs w:val="26"/>
          <w:lang w:eastAsia="en-US"/>
        </w:rPr>
        <w:t xml:space="preserve">, die </w:t>
      </w:r>
      <w:r w:rsidRPr="005731F4">
        <w:rPr>
          <w:rFonts w:ascii="Times New Roman" w:hAnsi="Times New Roman" w:cs="Times New Roman"/>
          <w:i/>
          <w:snapToGrid w:val="0"/>
          <w:sz w:val="26"/>
          <w:szCs w:val="26"/>
          <w:lang w:eastAsia="en-US"/>
        </w:rPr>
        <w:t>Sicherheit</w:t>
      </w:r>
      <w:r w:rsidRPr="005731F4">
        <w:rPr>
          <w:rFonts w:ascii="Times New Roman" w:hAnsi="Times New Roman" w:cs="Times New Roman"/>
          <w:snapToGrid w:val="0"/>
          <w:sz w:val="26"/>
          <w:szCs w:val="26"/>
          <w:lang w:eastAsia="en-US"/>
        </w:rPr>
        <w:t xml:space="preserve">, das </w:t>
      </w:r>
      <w:r w:rsidRPr="005731F4">
        <w:rPr>
          <w:rFonts w:ascii="Times New Roman" w:hAnsi="Times New Roman" w:cs="Times New Roman"/>
          <w:i/>
          <w:snapToGrid w:val="0"/>
          <w:sz w:val="26"/>
          <w:szCs w:val="26"/>
          <w:lang w:eastAsia="en-US"/>
        </w:rPr>
        <w:t>Eigentum</w:t>
      </w:r>
      <w:r w:rsidRPr="005731F4">
        <w:rPr>
          <w:rFonts w:ascii="Times New Roman" w:hAnsi="Times New Roman" w:cs="Times New Roman"/>
          <w:snapToGrid w:val="0"/>
          <w:sz w:val="26"/>
          <w:szCs w:val="26"/>
          <w:lang w:eastAsia="en-US"/>
        </w:rPr>
        <w:t xml:space="preserve">.“ Worin besteht die </w:t>
      </w:r>
      <w:r w:rsidRPr="005731F4">
        <w:rPr>
          <w:rFonts w:ascii="Times New Roman" w:hAnsi="Times New Roman" w:cs="Times New Roman"/>
          <w:i/>
          <w:snapToGrid w:val="0"/>
          <w:sz w:val="26"/>
          <w:szCs w:val="26"/>
          <w:lang w:eastAsia="en-US"/>
        </w:rPr>
        <w:t>Freiheit</w:t>
      </w:r>
      <w:r w:rsidRPr="005731F4">
        <w:rPr>
          <w:rFonts w:ascii="Times New Roman" w:hAnsi="Times New Roman" w:cs="Times New Roman"/>
          <w:snapToGrid w:val="0"/>
          <w:sz w:val="26"/>
          <w:szCs w:val="26"/>
          <w:lang w:eastAsia="en-US"/>
        </w:rPr>
        <w:t>? Artikel 6: „Die Freiheit ist das dem Menschen zugehörige Vermögen alles zu tun, was den Rechten des anderen nicht schadet.“ [...]</w:t>
      </w:r>
    </w:p>
    <w:p w14:paraId="08937636" w14:textId="77777777" w:rsidR="005731F4" w:rsidRDefault="005731F4" w:rsidP="005731F4">
      <w:pPr>
        <w:spacing w:line="276" w:lineRule="auto"/>
        <w:jc w:val="both"/>
        <w:rPr>
          <w:rFonts w:ascii="Times New Roman" w:hAnsi="Times New Roman" w:cs="Times New Roman"/>
          <w:snapToGrid w:val="0"/>
          <w:sz w:val="26"/>
          <w:szCs w:val="26"/>
          <w:lang w:eastAsia="en-US"/>
        </w:rPr>
      </w:pPr>
      <w:r w:rsidRPr="005731F4">
        <w:rPr>
          <w:rFonts w:ascii="Times New Roman" w:hAnsi="Times New Roman" w:cs="Times New Roman"/>
          <w:snapToGrid w:val="0"/>
          <w:sz w:val="26"/>
          <w:szCs w:val="26"/>
          <w:lang w:eastAsia="en-US"/>
        </w:rPr>
        <w:t xml:space="preserve">Die Freiheit ist also das Recht alles zu tun und zu treiben, was keinem anderen schadet. Die Grenze, in welcher sich jeder dem anderen </w:t>
      </w:r>
      <w:r w:rsidRPr="005731F4">
        <w:rPr>
          <w:rFonts w:ascii="Times New Roman" w:hAnsi="Times New Roman" w:cs="Times New Roman"/>
          <w:i/>
          <w:snapToGrid w:val="0"/>
          <w:sz w:val="26"/>
          <w:szCs w:val="26"/>
          <w:lang w:eastAsia="en-US"/>
        </w:rPr>
        <w:t>unschädlich</w:t>
      </w:r>
      <w:r w:rsidRPr="005731F4">
        <w:rPr>
          <w:rFonts w:ascii="Times New Roman" w:hAnsi="Times New Roman" w:cs="Times New Roman"/>
          <w:snapToGrid w:val="0"/>
          <w:sz w:val="26"/>
          <w:szCs w:val="26"/>
          <w:lang w:eastAsia="en-US"/>
        </w:rPr>
        <w:t xml:space="preserve"> bewegen kann, ist durch das Gesetz bestimmt, wie die Grenze zweier Felder durch den Zaunpfahl bestimmt ist. Es handelt sich um die Freiheit des Menschen als isoliert auf sich zurückgezogener Monade [hier: ein isoliertes Individuum]. [...] Aber das Menschenrecht der Freiheit basiert nicht auf der Verbindung des Menschen mit dem Menschen, sondern vielmehr auf der Absonderung des Menschen von dem Menschen. Es ist das </w:t>
      </w:r>
      <w:r w:rsidRPr="005731F4">
        <w:rPr>
          <w:rFonts w:ascii="Times New Roman" w:hAnsi="Times New Roman" w:cs="Times New Roman"/>
          <w:i/>
          <w:snapToGrid w:val="0"/>
          <w:sz w:val="26"/>
          <w:szCs w:val="26"/>
          <w:lang w:eastAsia="en-US"/>
        </w:rPr>
        <w:t>Recht</w:t>
      </w:r>
      <w:r w:rsidRPr="005731F4">
        <w:rPr>
          <w:rFonts w:ascii="Times New Roman" w:hAnsi="Times New Roman" w:cs="Times New Roman"/>
          <w:snapToGrid w:val="0"/>
          <w:sz w:val="26"/>
          <w:szCs w:val="26"/>
          <w:lang w:eastAsia="en-US"/>
        </w:rPr>
        <w:t xml:space="preserve"> dieser Absonderung, das Recht des </w:t>
      </w:r>
      <w:r w:rsidRPr="005731F4">
        <w:rPr>
          <w:rFonts w:ascii="Times New Roman" w:hAnsi="Times New Roman" w:cs="Times New Roman"/>
          <w:i/>
          <w:snapToGrid w:val="0"/>
          <w:sz w:val="26"/>
          <w:szCs w:val="26"/>
          <w:lang w:eastAsia="en-US"/>
        </w:rPr>
        <w:t>beschränkten</w:t>
      </w:r>
      <w:r w:rsidRPr="005731F4">
        <w:rPr>
          <w:rFonts w:ascii="Times New Roman" w:hAnsi="Times New Roman" w:cs="Times New Roman"/>
          <w:snapToGrid w:val="0"/>
          <w:sz w:val="26"/>
          <w:szCs w:val="26"/>
          <w:lang w:eastAsia="en-US"/>
        </w:rPr>
        <w:t xml:space="preserve">, auf sich beschränkten Individuums. Die praktische Nutzanwendung des Menschenrechts der Freiheit ist das Menschenrecht des Privateigentums. Worin besteht das Menschenrecht des </w:t>
      </w:r>
      <w:r w:rsidRPr="005731F4">
        <w:rPr>
          <w:rFonts w:ascii="Times New Roman" w:hAnsi="Times New Roman" w:cs="Times New Roman"/>
          <w:i/>
          <w:snapToGrid w:val="0"/>
          <w:sz w:val="26"/>
          <w:szCs w:val="26"/>
          <w:lang w:eastAsia="en-US"/>
        </w:rPr>
        <w:t>Privateigentums</w:t>
      </w:r>
      <w:r w:rsidRPr="005731F4">
        <w:rPr>
          <w:rFonts w:ascii="Times New Roman" w:hAnsi="Times New Roman" w:cs="Times New Roman"/>
          <w:snapToGrid w:val="0"/>
          <w:sz w:val="26"/>
          <w:szCs w:val="26"/>
          <w:lang w:eastAsia="en-US"/>
        </w:rPr>
        <w:t>?</w:t>
      </w:r>
      <w:r w:rsidRPr="005731F4">
        <w:rPr>
          <w:rFonts w:ascii="Times New Roman" w:hAnsi="Times New Roman" w:cs="Times New Roman"/>
          <w:snapToGrid w:val="0"/>
          <w:sz w:val="26"/>
          <w:szCs w:val="26"/>
          <w:lang w:eastAsia="en-US"/>
        </w:rPr>
        <w:tab/>
      </w:r>
      <w:r w:rsidRPr="005731F4">
        <w:rPr>
          <w:rFonts w:ascii="Times New Roman" w:hAnsi="Times New Roman" w:cs="Times New Roman"/>
          <w:snapToGrid w:val="0"/>
          <w:sz w:val="26"/>
          <w:szCs w:val="26"/>
          <w:lang w:eastAsia="en-US"/>
        </w:rPr>
        <w:tab/>
      </w:r>
      <w:r w:rsidRPr="005731F4">
        <w:rPr>
          <w:rFonts w:ascii="Times New Roman" w:hAnsi="Times New Roman" w:cs="Times New Roman"/>
          <w:snapToGrid w:val="0"/>
          <w:sz w:val="26"/>
          <w:szCs w:val="26"/>
          <w:lang w:eastAsia="en-US"/>
        </w:rPr>
        <w:tab/>
      </w:r>
      <w:r w:rsidRPr="005731F4">
        <w:rPr>
          <w:rFonts w:ascii="Times New Roman" w:hAnsi="Times New Roman" w:cs="Times New Roman"/>
          <w:snapToGrid w:val="0"/>
          <w:sz w:val="26"/>
          <w:szCs w:val="26"/>
          <w:lang w:eastAsia="en-US"/>
        </w:rPr>
        <w:tab/>
      </w:r>
      <w:r w:rsidRPr="005731F4">
        <w:rPr>
          <w:rFonts w:ascii="Times New Roman" w:hAnsi="Times New Roman" w:cs="Times New Roman"/>
          <w:snapToGrid w:val="0"/>
          <w:sz w:val="26"/>
          <w:szCs w:val="26"/>
          <w:lang w:eastAsia="en-US"/>
        </w:rPr>
        <w:tab/>
      </w:r>
      <w:r w:rsidRPr="005731F4">
        <w:rPr>
          <w:rFonts w:ascii="Times New Roman" w:hAnsi="Times New Roman" w:cs="Times New Roman"/>
          <w:snapToGrid w:val="0"/>
          <w:sz w:val="26"/>
          <w:szCs w:val="26"/>
          <w:lang w:eastAsia="en-US"/>
        </w:rPr>
        <w:tab/>
      </w:r>
      <w:r w:rsidRPr="005731F4">
        <w:rPr>
          <w:rFonts w:ascii="Times New Roman" w:hAnsi="Times New Roman" w:cs="Times New Roman"/>
          <w:snapToGrid w:val="0"/>
          <w:sz w:val="26"/>
          <w:szCs w:val="26"/>
          <w:lang w:eastAsia="en-US"/>
        </w:rPr>
        <w:tab/>
      </w:r>
      <w:r w:rsidRPr="005731F4">
        <w:rPr>
          <w:rFonts w:ascii="Times New Roman" w:hAnsi="Times New Roman" w:cs="Times New Roman"/>
          <w:snapToGrid w:val="0"/>
          <w:sz w:val="26"/>
          <w:szCs w:val="26"/>
          <w:lang w:eastAsia="en-US"/>
        </w:rPr>
        <w:tab/>
      </w:r>
      <w:r w:rsidRPr="005731F4">
        <w:rPr>
          <w:rFonts w:ascii="Times New Roman" w:hAnsi="Times New Roman" w:cs="Times New Roman"/>
          <w:snapToGrid w:val="0"/>
          <w:sz w:val="26"/>
          <w:szCs w:val="26"/>
          <w:lang w:eastAsia="en-US"/>
        </w:rPr>
        <w:tab/>
      </w:r>
      <w:r w:rsidRPr="005731F4">
        <w:rPr>
          <w:rFonts w:ascii="Times New Roman" w:hAnsi="Times New Roman" w:cs="Times New Roman"/>
          <w:snapToGrid w:val="0"/>
          <w:sz w:val="26"/>
          <w:szCs w:val="26"/>
          <w:lang w:eastAsia="en-US"/>
        </w:rPr>
        <w:tab/>
        <w:t xml:space="preserve">              Artikel 16. (Verfassung von 1793): „Das Recht des Privateigentums ist das jedem Bürger zukommende Recht seine Güter, die Früchte seiner Arbeit und seines Fleißes zu genießen und </w:t>
      </w:r>
      <w:r w:rsidRPr="005731F4">
        <w:rPr>
          <w:rFonts w:ascii="Times New Roman" w:hAnsi="Times New Roman" w:cs="Times New Roman"/>
          <w:i/>
          <w:snapToGrid w:val="0"/>
          <w:sz w:val="26"/>
          <w:szCs w:val="26"/>
          <w:lang w:eastAsia="en-US"/>
        </w:rPr>
        <w:t>nach seinem Belieben</w:t>
      </w:r>
      <w:r w:rsidRPr="005731F4">
        <w:rPr>
          <w:rFonts w:ascii="Times New Roman" w:hAnsi="Times New Roman" w:cs="Times New Roman"/>
          <w:snapToGrid w:val="0"/>
          <w:sz w:val="26"/>
          <w:szCs w:val="26"/>
          <w:lang w:eastAsia="en-US"/>
        </w:rPr>
        <w:t xml:space="preserve"> über sie zu verfügen.“ Das Menschenrecht des Privateigentums ist als das Recht willkürlich (nach seinem Belieben), ohne Beziehung auf andere Menschen, unabhängig von der Gesellschaft, sein Vermögen zu genießen und über dasselbe zu disponieren, das Recht des Eigennutzes. Jene individuelle Freiheit, wie diese Nutzanwendung derselben, bilden die Grundlage der bürgerlichen Gesellschaft. Sie lässt jeden Menschen im anderen Menschen nicht die </w:t>
      </w:r>
      <w:r w:rsidRPr="005731F4">
        <w:rPr>
          <w:rFonts w:ascii="Times New Roman" w:hAnsi="Times New Roman" w:cs="Times New Roman"/>
          <w:i/>
          <w:snapToGrid w:val="0"/>
          <w:sz w:val="26"/>
          <w:szCs w:val="26"/>
          <w:lang w:eastAsia="en-US"/>
        </w:rPr>
        <w:t>Verwirklichung</w:t>
      </w:r>
      <w:r w:rsidRPr="005731F4">
        <w:rPr>
          <w:rFonts w:ascii="Times New Roman" w:hAnsi="Times New Roman" w:cs="Times New Roman"/>
          <w:snapToGrid w:val="0"/>
          <w:sz w:val="26"/>
          <w:szCs w:val="26"/>
          <w:lang w:eastAsia="en-US"/>
        </w:rPr>
        <w:t xml:space="preserve">, sondern vielmehr die </w:t>
      </w:r>
      <w:r w:rsidRPr="005731F4">
        <w:rPr>
          <w:rFonts w:ascii="Times New Roman" w:hAnsi="Times New Roman" w:cs="Times New Roman"/>
          <w:i/>
          <w:snapToGrid w:val="0"/>
          <w:sz w:val="26"/>
          <w:szCs w:val="26"/>
          <w:lang w:eastAsia="en-US"/>
        </w:rPr>
        <w:t>Schranke</w:t>
      </w:r>
      <w:r w:rsidRPr="005731F4">
        <w:rPr>
          <w:rFonts w:ascii="Times New Roman" w:hAnsi="Times New Roman" w:cs="Times New Roman"/>
          <w:snapToGrid w:val="0"/>
          <w:sz w:val="26"/>
          <w:szCs w:val="26"/>
          <w:lang w:eastAsia="en-US"/>
        </w:rPr>
        <w:t xml:space="preserve"> seiner Freiheit </w:t>
      </w:r>
      <w:r w:rsidRPr="005731F4">
        <w:rPr>
          <w:rFonts w:ascii="Times New Roman" w:hAnsi="Times New Roman" w:cs="Times New Roman"/>
          <w:snapToGrid w:val="0"/>
          <w:sz w:val="26"/>
          <w:szCs w:val="26"/>
          <w:lang w:val="en-US" w:eastAsia="en-US"/>
        </w:rPr>
        <w:t>ﬁ</w:t>
      </w:r>
      <w:proofErr w:type="spellStart"/>
      <w:r w:rsidRPr="005731F4">
        <w:rPr>
          <w:rFonts w:ascii="Times New Roman" w:hAnsi="Times New Roman" w:cs="Times New Roman"/>
          <w:snapToGrid w:val="0"/>
          <w:sz w:val="26"/>
          <w:szCs w:val="26"/>
          <w:lang w:eastAsia="en-US"/>
        </w:rPr>
        <w:t>nden</w:t>
      </w:r>
      <w:proofErr w:type="spellEnd"/>
      <w:r w:rsidRPr="005731F4">
        <w:rPr>
          <w:rFonts w:ascii="Times New Roman" w:hAnsi="Times New Roman" w:cs="Times New Roman"/>
          <w:snapToGrid w:val="0"/>
          <w:sz w:val="26"/>
          <w:szCs w:val="26"/>
          <w:lang w:eastAsia="en-US"/>
        </w:rPr>
        <w:t xml:space="preserve">. Sie proklamiert vor allem aber das Menschenrecht, „seine Güter, die Früchte seiner Arbeit und seines Fleißes zu genießen und </w:t>
      </w:r>
      <w:r w:rsidRPr="005731F4">
        <w:rPr>
          <w:rFonts w:ascii="Times New Roman" w:hAnsi="Times New Roman" w:cs="Times New Roman"/>
          <w:i/>
          <w:snapToGrid w:val="0"/>
          <w:sz w:val="26"/>
          <w:szCs w:val="26"/>
          <w:lang w:eastAsia="en-US"/>
        </w:rPr>
        <w:t>nach seinem Belieben</w:t>
      </w:r>
      <w:r w:rsidRPr="005731F4">
        <w:rPr>
          <w:rFonts w:ascii="Times New Roman" w:hAnsi="Times New Roman" w:cs="Times New Roman"/>
          <w:snapToGrid w:val="0"/>
          <w:sz w:val="26"/>
          <w:szCs w:val="26"/>
          <w:lang w:eastAsia="en-US"/>
        </w:rPr>
        <w:t xml:space="preserve"> über sie zu verfügen.“ [...] Keines der so genannten Menschenrechte geht also über den egoistischen Menschen hinaus, den Menschen, wie er Mitglied der bürgerlichen Gesellschaft, nämlich auf sein Privatinteresse und seine Privatwillkür zurückgezogenes und abgesondertes Individuum ist.   </w:t>
      </w:r>
    </w:p>
    <w:p w14:paraId="2C74C615" w14:textId="77777777" w:rsidR="005731F4" w:rsidRPr="005731F4" w:rsidRDefault="005731F4" w:rsidP="005731F4">
      <w:pPr>
        <w:jc w:val="both"/>
        <w:rPr>
          <w:rFonts w:ascii="Arial" w:hAnsi="Arial"/>
          <w:snapToGrid w:val="0"/>
          <w:sz w:val="20"/>
          <w:szCs w:val="20"/>
        </w:rPr>
        <w:sectPr w:rsidR="005731F4" w:rsidRPr="005731F4" w:rsidSect="00A17863">
          <w:footnotePr>
            <w:numRestart w:val="eachPage"/>
          </w:footnotePr>
          <w:type w:val="continuous"/>
          <w:pgSz w:w="11906" w:h="16838"/>
          <w:pgMar w:top="680" w:right="907" w:bottom="624" w:left="1134" w:header="1531" w:footer="567" w:gutter="0"/>
          <w:lnNumType w:countBy="5" w:restart="newSection"/>
          <w:cols w:space="708"/>
          <w:docGrid w:linePitch="360"/>
        </w:sectPr>
      </w:pPr>
      <w:r w:rsidRPr="005731F4">
        <w:rPr>
          <w:rFonts w:ascii="Arial" w:hAnsi="Arial"/>
          <w:snapToGrid w:val="0"/>
          <w:sz w:val="20"/>
          <w:szCs w:val="20"/>
        </w:rPr>
        <w:t>Karl Marx: Zur Judenfrage. In: MEW. Bd. 1. Dietz: Berlin/DDR 1968, s. 363-366.</w:t>
      </w:r>
    </w:p>
    <w:p w14:paraId="527F0CB6" w14:textId="77777777" w:rsidR="005731F4" w:rsidRDefault="005731F4" w:rsidP="005731F4">
      <w:pPr>
        <w:suppressLineNumbers/>
        <w:spacing w:line="360" w:lineRule="auto"/>
        <w:jc w:val="both"/>
        <w:rPr>
          <w:rFonts w:ascii="Arial" w:hAnsi="Arial" w:cs="Arial"/>
          <w:b/>
          <w:snapToGrid w:val="0"/>
          <w:sz w:val="24"/>
          <w:szCs w:val="24"/>
        </w:rPr>
      </w:pPr>
    </w:p>
    <w:p w14:paraId="75681BBD" w14:textId="77777777" w:rsidR="005731F4" w:rsidRDefault="005731F4" w:rsidP="005731F4">
      <w:pPr>
        <w:suppressLineNumbers/>
        <w:spacing w:line="360" w:lineRule="auto"/>
        <w:jc w:val="both"/>
        <w:rPr>
          <w:rFonts w:ascii="Arial" w:hAnsi="Arial" w:cs="Arial"/>
          <w:b/>
          <w:snapToGrid w:val="0"/>
          <w:sz w:val="24"/>
          <w:szCs w:val="24"/>
        </w:rPr>
      </w:pPr>
    </w:p>
    <w:p w14:paraId="16DFD0D9" w14:textId="6F178C23" w:rsidR="005731F4" w:rsidRPr="00956D2F" w:rsidRDefault="005731F4" w:rsidP="005731F4">
      <w:pPr>
        <w:suppressLineNumbers/>
        <w:spacing w:line="360" w:lineRule="auto"/>
        <w:jc w:val="both"/>
        <w:rPr>
          <w:rFonts w:ascii="Arial" w:hAnsi="Arial" w:cs="Arial"/>
          <w:b/>
          <w:snapToGrid w:val="0"/>
          <w:sz w:val="24"/>
          <w:szCs w:val="24"/>
        </w:rPr>
      </w:pPr>
      <w:r w:rsidRPr="00956D2F">
        <w:rPr>
          <w:rFonts w:ascii="Arial" w:hAnsi="Arial" w:cs="Arial"/>
          <w:b/>
          <w:snapToGrid w:val="0"/>
          <w:sz w:val="24"/>
          <w:szCs w:val="24"/>
        </w:rPr>
        <w:t>Aufgaben:</w:t>
      </w:r>
    </w:p>
    <w:p w14:paraId="235BD7AC" w14:textId="77777777" w:rsidR="005731F4" w:rsidRDefault="005731F4" w:rsidP="005731F4">
      <w:pPr>
        <w:suppressLineNumbers/>
        <w:autoSpaceDE w:val="0"/>
        <w:autoSpaceDN w:val="0"/>
        <w:adjustRightInd w:val="0"/>
        <w:spacing w:after="0" w:line="240" w:lineRule="auto"/>
        <w:rPr>
          <w:rFonts w:ascii="ArialMT" w:hAnsi="ArialMT" w:cs="ArialMT"/>
          <w:sz w:val="24"/>
          <w:szCs w:val="24"/>
        </w:rPr>
      </w:pPr>
      <w:r w:rsidRPr="007F33FB">
        <w:rPr>
          <w:rFonts w:ascii="ArialMT" w:hAnsi="ArialMT" w:cs="ArialMT"/>
          <w:sz w:val="24"/>
          <w:szCs w:val="24"/>
        </w:rPr>
        <w:t>1.</w:t>
      </w:r>
      <w:r>
        <w:rPr>
          <w:rFonts w:ascii="ArialMT" w:hAnsi="ArialMT" w:cs="ArialMT"/>
          <w:sz w:val="24"/>
          <w:szCs w:val="24"/>
        </w:rPr>
        <w:t xml:space="preserve"> </w:t>
      </w:r>
      <w:r w:rsidRPr="007F33FB">
        <w:rPr>
          <w:rFonts w:ascii="ArialMT" w:hAnsi="ArialMT" w:cs="ArialMT"/>
          <w:sz w:val="24"/>
          <w:szCs w:val="24"/>
        </w:rPr>
        <w:t>Erläuter</w:t>
      </w:r>
      <w:r>
        <w:rPr>
          <w:rFonts w:ascii="ArialMT" w:hAnsi="ArialMT" w:cs="ArialMT"/>
          <w:sz w:val="24"/>
          <w:szCs w:val="24"/>
        </w:rPr>
        <w:t>n Sie</w:t>
      </w:r>
      <w:r w:rsidRPr="007F33FB">
        <w:rPr>
          <w:rFonts w:ascii="ArialMT" w:hAnsi="ArialMT" w:cs="ArialMT"/>
          <w:sz w:val="24"/>
          <w:szCs w:val="24"/>
        </w:rPr>
        <w:t xml:space="preserve"> die </w:t>
      </w:r>
      <w:r>
        <w:rPr>
          <w:rFonts w:ascii="ArialMT" w:hAnsi="ArialMT" w:cs="ArialMT"/>
          <w:sz w:val="24"/>
          <w:szCs w:val="24"/>
        </w:rPr>
        <w:t xml:space="preserve">Grundgedanken und die Argumentation des Textes. </w:t>
      </w:r>
    </w:p>
    <w:p w14:paraId="156D95DD" w14:textId="77777777" w:rsidR="005731F4" w:rsidRPr="007F33FB" w:rsidRDefault="005731F4" w:rsidP="005731F4">
      <w:pPr>
        <w:suppressLineNumbers/>
        <w:autoSpaceDE w:val="0"/>
        <w:autoSpaceDN w:val="0"/>
        <w:adjustRightInd w:val="0"/>
        <w:spacing w:after="0" w:line="240" w:lineRule="auto"/>
        <w:rPr>
          <w:rFonts w:ascii="ArialMT" w:hAnsi="ArialMT" w:cs="ArialMT"/>
          <w:sz w:val="24"/>
          <w:szCs w:val="24"/>
        </w:rPr>
      </w:pPr>
    </w:p>
    <w:p w14:paraId="281AF17D" w14:textId="77777777" w:rsidR="005731F4" w:rsidRDefault="005731F4" w:rsidP="005731F4">
      <w:pPr>
        <w:suppressLineNumbers/>
        <w:jc w:val="both"/>
        <w:rPr>
          <w:rFonts w:ascii="Arial" w:hAnsi="Arial"/>
          <w:snapToGrid w:val="0"/>
        </w:rPr>
      </w:pPr>
      <w:r>
        <w:rPr>
          <w:rFonts w:ascii="ArialMT" w:hAnsi="ArialMT" w:cs="ArialMT"/>
          <w:sz w:val="24"/>
          <w:szCs w:val="24"/>
        </w:rPr>
        <w:t>2. Erörtern Sie die Position des Autors kritisch und nehmen Sie begründend dazu Stellung</w:t>
      </w:r>
      <w:r>
        <w:rPr>
          <w:rFonts w:ascii="Arial" w:hAnsi="Arial"/>
          <w:snapToGrid w:val="0"/>
        </w:rPr>
        <w:t xml:space="preserve"> </w:t>
      </w:r>
    </w:p>
    <w:p w14:paraId="4DFC1475" w14:textId="4C1624ED" w:rsidR="005731F4" w:rsidRPr="005731F4" w:rsidRDefault="005731F4" w:rsidP="005731F4">
      <w:pPr>
        <w:spacing w:line="276" w:lineRule="auto"/>
        <w:jc w:val="both"/>
        <w:rPr>
          <w:rFonts w:ascii="Times New Roman" w:hAnsi="Times New Roman" w:cs="Times New Roman"/>
          <w:snapToGrid w:val="0"/>
          <w:sz w:val="26"/>
          <w:szCs w:val="26"/>
          <w:lang w:eastAsia="en-US"/>
        </w:rPr>
      </w:pPr>
      <w:r w:rsidRPr="005731F4">
        <w:rPr>
          <w:rFonts w:ascii="Times New Roman" w:hAnsi="Times New Roman" w:cs="Times New Roman"/>
          <w:snapToGrid w:val="0"/>
          <w:sz w:val="26"/>
          <w:szCs w:val="26"/>
          <w:lang w:eastAsia="en-US"/>
        </w:rPr>
        <w:t xml:space="preserve">                        </w:t>
      </w:r>
    </w:p>
    <w:p w14:paraId="4430A584" w14:textId="77777777" w:rsidR="00895201" w:rsidRDefault="005731F4"/>
    <w:sectPr w:rsidR="00895201" w:rsidSect="005731F4">
      <w:type w:val="continuous"/>
      <w:pgSz w:w="11906" w:h="16838"/>
      <w:pgMar w:top="680" w:right="907" w:bottom="62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1F4"/>
    <w:rsid w:val="00040DF1"/>
    <w:rsid w:val="00254591"/>
    <w:rsid w:val="002A5A44"/>
    <w:rsid w:val="004411B3"/>
    <w:rsid w:val="00525805"/>
    <w:rsid w:val="005731F4"/>
    <w:rsid w:val="008A62ED"/>
    <w:rsid w:val="009B1773"/>
    <w:rsid w:val="00E238C7"/>
    <w:rsid w:val="00EB50A9"/>
    <w:rsid w:val="00ED74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1FAB0"/>
  <w15:chartTrackingRefBased/>
  <w15:docId w15:val="{99F531F5-7FD7-4D32-B71E-3DA8FC56B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Zeilennummer">
    <w:name w:val="line number"/>
    <w:basedOn w:val="Absatz-Standardschriftart"/>
    <w:uiPriority w:val="99"/>
    <w:semiHidden/>
    <w:unhideWhenUsed/>
    <w:rsid w:val="005731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FACCDBAA3E43F4F904CE9E097C2487F" ma:contentTypeVersion="4" ma:contentTypeDescription="Ein neues Dokument erstellen." ma:contentTypeScope="" ma:versionID="e504bbba3bd02d0bd549f58227b28726">
  <xsd:schema xmlns:xsd="http://www.w3.org/2001/XMLSchema" xmlns:xs="http://www.w3.org/2001/XMLSchema" xmlns:p="http://schemas.microsoft.com/office/2006/metadata/properties" xmlns:ns1="http://schemas.microsoft.com/sharepoint/v3" xmlns:ns2="dfada9d7-b8a8-469e-97fe-426e8b0a9044" targetNamespace="http://schemas.microsoft.com/office/2006/metadata/properties" ma:root="true" ma:fieldsID="9fcae72c13f58991016b62d6acfc8183" ns1:_="" ns2:_="">
    <xsd:import namespace="http://schemas.microsoft.com/sharepoint/v3"/>
    <xsd:import namespace="dfada9d7-b8a8-469e-97fe-426e8b0a9044"/>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Eigenschaften der einheitlichen Compliancerichtlinie" ma:hidden="true" ma:internalName="_ip_UnifiedCompliancePolicyProperties">
      <xsd:simpleType>
        <xsd:restriction base="dms:Note"/>
      </xsd:simpleType>
    </xsd:element>
    <xsd:element name="_ip_UnifiedCompliancePolicyUIAction" ma:index="9" nillable="true" ma:displayName="UI-Aktion der einheitlichen Compliancerichtlinie"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da9d7-b8a8-469e-97fe-426e8b0a904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B8F4A37-77DF-4CEF-B835-79B03D1AE669}"/>
</file>

<file path=customXml/itemProps2.xml><?xml version="1.0" encoding="utf-8"?>
<ds:datastoreItem xmlns:ds="http://schemas.openxmlformats.org/officeDocument/2006/customXml" ds:itemID="{E2EDCF0E-DE07-4B53-B515-A44B3B8FEEC2}"/>
</file>

<file path=customXml/itemProps3.xml><?xml version="1.0" encoding="utf-8"?>
<ds:datastoreItem xmlns:ds="http://schemas.openxmlformats.org/officeDocument/2006/customXml" ds:itemID="{0EF91D37-9EBF-4D30-A711-58E55848AC6A}"/>
</file>

<file path=docProps/app.xml><?xml version="1.0" encoding="utf-8"?>
<Properties xmlns="http://schemas.openxmlformats.org/officeDocument/2006/extended-properties" xmlns:vt="http://schemas.openxmlformats.org/officeDocument/2006/docPropsVTypes">
  <Template>Normal</Template>
  <TotalTime>0</TotalTime>
  <Pages>1</Pages>
  <Words>413</Words>
  <Characters>2604</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Alexander (LUX-Teacher)</dc:creator>
  <cp:keywords/>
  <dc:description/>
  <cp:lastModifiedBy>MARK Alexander (LUX-Teacher)</cp:lastModifiedBy>
  <cp:revision>1</cp:revision>
  <dcterms:created xsi:type="dcterms:W3CDTF">2020-06-02T21:37:00Z</dcterms:created>
  <dcterms:modified xsi:type="dcterms:W3CDTF">2020-06-02T21:42:00Z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0x0101005FACCDBAA3E43F4F904CE9E097C2487F</vt:lpwstr>
  </property>
</Properties>
</file>