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170c0"/>
          <w:sz w:val="36"/>
          <w:szCs w:val="36"/>
          <w:rtl w:val="0"/>
        </w:rPr>
        <w:t xml:space="preserve">Registro de Definición de Pruebas</w:t>
      </w: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7"/>
        <w:gridCol w:w="2207"/>
        <w:gridCol w:w="2207"/>
        <w:gridCol w:w="2207"/>
        <w:tblGridChange w:id="0">
          <w:tblGrid>
            <w:gridCol w:w="2207"/>
            <w:gridCol w:w="2207"/>
            <w:gridCol w:w="2207"/>
            <w:gridCol w:w="22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 MR: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MR-[11]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 del sistema: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CODETECA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Responsable: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Roger Ruz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Mantenedor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 de definición: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15/05/2026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Ruta de almacenamiento: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Pruebas/ID-[ID]/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Tipos aplicables: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 Unitarias   </w:t>
            </w:r>
          </w:p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x ] Regresión   </w:t>
            </w:r>
          </w:p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] Visuales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14">
      <w:pPr>
        <w:spacing w:after="100" w:before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Mantenedor utilizará este registro para documentar los casos de prueba unitarios y de regresión derivados del Listado de Modificaciones-MR-[ID]. Cada riesgo registrado en las observaciones del listado deberá quedar cubierto por al menos un caso de prueba. Cuando exista impacto visual, también se deberán definir criterios de prueba visual.</w:t>
      </w:r>
    </w:p>
    <w:p w:rsidR="00000000" w:rsidDel="00000000" w:rsidP="00000000" w:rsidRDefault="00000000" w:rsidRPr="00000000" w14:paraId="00000015">
      <w:pPr>
        <w:spacing w:after="12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Registro de Casos de Prueba Unitarios y de Regresión</w:t>
      </w: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786"/>
        <w:gridCol w:w="1218"/>
        <w:gridCol w:w="1670"/>
        <w:gridCol w:w="1789"/>
        <w:gridCol w:w="1576"/>
        <w:gridCol w:w="1789"/>
        <w:tblGridChange w:id="0">
          <w:tblGrid>
            <w:gridCol w:w="786"/>
            <w:gridCol w:w="1218"/>
            <w:gridCol w:w="1670"/>
            <w:gridCol w:w="1789"/>
            <w:gridCol w:w="1576"/>
            <w:gridCol w:w="17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 del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Riesgo cubierto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R-11-001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Regresión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Verificar que el flujo principal de inscripción a un curso continúe funcionando después de reemplazar el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alert()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por el toast.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realiza una inscripción válida desde el catálogo de cursos.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inscripción se completa correctamente y se muestra la notificación visual de éxito.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Asegurar que el cambio visual no afecte el flujo funcional principal.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R-11-002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Regresión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Verificar que la vista principal del catálogo de cursos siga cargando correctamente después de modificar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cursos.js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cursos.css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Acceso a la vista principal del catálogo.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vista carga sin errores visuales ni errores en consola.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Evitar regresiones por cambios en archivos de presentación.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R-11-003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Regresión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Verificar que los botones de inscripción sigan respondiendo correctamente después de implementar la función dinámica del toast.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Clic en el botón “Inscribirse” de un curso disponible.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botón ejecuta la acción esperada y no queda bloqueado indebidamente.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Evitar que el debounce afecte el comportamiento normal del botón.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R-11-004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Regresión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Verificar que otros elementos inferiores de la página sigan siendo accesibles cuando la notificación esté visible.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Notificación activa en la parte inferior de la pantalla.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notificación no impide el uso de elementos importantes de la página ni invade el contenido principal.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Riesgo de superposición con elementos inferiores.</w:t>
            </w:r>
          </w:p>
        </w:tc>
      </w:tr>
    </w:tbl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5295206</wp:posOffset>
          </wp:positionH>
          <wp:positionV relativeFrom="paragraph">
            <wp:posOffset>-50510</wp:posOffset>
          </wp:positionV>
          <wp:extent cx="868680" cy="949268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8680" cy="94926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hOIpoJqsVUA5cGzcjEQTCA3WMA==">CgMxLjA4AHIhMTZua2ZlWEtOOTNtbUZYUTVOZElmLWVncnI2eWowTldD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