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900"/>
      </w:pPr>
      <w:r>
        <w:t xml:space="preserve"/>
      </w:r>
    </w:p>
    <w:p>
      <w:pPr>
        <w:jc w:val="center"/>
      </w:pPr>
      <w:r>
        <w:rPr>
          <w:rFonts w:ascii="Arial" w:cs="Arial" w:eastAsia="Arial" w:hAnsi="Arial"/>
          <w:b/>
          <w:bCs/>
          <w:color w:val="1F3864"/>
          <w:sz w:val="60"/>
          <w:szCs w:val="60"/>
        </w:rPr>
        <w:t xml:space="preserve">ENTERPRISE AI ENGINEERING</w:t>
      </w:r>
    </w:p>
    <w:p>
      <w:pPr>
        <w:jc w:val="center"/>
      </w:pPr>
      <w:r>
        <w:rPr>
          <w:rFonts w:ascii="Arial" w:cs="Arial" w:eastAsia="Arial" w:hAnsi="Arial"/>
          <w:b/>
          <w:bCs/>
          <w:color w:val="1F3864"/>
          <w:sz w:val="60"/>
          <w:szCs w:val="60"/>
        </w:rPr>
        <w:t xml:space="preserve">INTELLIGENCE PLATFORM</w:t>
      </w:r>
    </w:p>
    <w:p>
      <w:pPr>
        <w:spacing w:after="100" w:before="160"/>
      </w:pPr>
      <w:r>
        <w:t xml:space="preserve"/>
      </w:r>
    </w:p>
    <w:p>
      <w:pPr>
        <w:pBdr>
          <w:bottom w:val="single" w:color="2E5FA3" w:sz="10" w:space="1"/>
        </w:pBdr>
        <w:spacing w:after="200" w:before="0"/>
        <w:jc w:val="center"/>
      </w:pPr>
      <w:r>
        <w:rPr>
          <w:sz w:val="4"/>
          <w:szCs w:val="4"/>
        </w:rPr>
        <w:t xml:space="preserve"> </w:t>
      </w:r>
    </w:p>
    <w:p>
      <w:pPr>
        <w:spacing w:after="100" w:before="160"/>
      </w:pPr>
      <w:r>
        <w:t xml:space="preserve"/>
      </w:r>
    </w:p>
    <w:p>
      <w:pPr>
        <w:jc w:val="center"/>
      </w:pPr>
      <w:r>
        <w:rPr>
          <w:rFonts w:ascii="Arial" w:cs="Arial" w:eastAsia="Arial" w:hAnsi="Arial"/>
          <w:i/>
          <w:iCs/>
          <w:color w:val="2E5FA3"/>
          <w:sz w:val="28"/>
          <w:szCs w:val="28"/>
        </w:rPr>
        <w:t xml:space="preserve">A Reference Architecture for Workflow-Aware Engineering Intelligence</w:t>
      </w:r>
    </w:p>
    <w:p>
      <w:pPr>
        <w:spacing w:after="100" w:before="600"/>
      </w:pPr>
      <w:r>
        <w:t xml:space="preserve"/>
      </w:r>
    </w:p>
    <w:p>
      <w:pPr>
        <w:jc w:val="center"/>
      </w:pPr>
      <w:r>
        <w:rPr>
          <w:rFonts w:ascii="Arial" w:cs="Arial" w:eastAsia="Arial" w:hAnsi="Arial"/>
          <w:color w:val="444444"/>
          <w:sz w:val="24"/>
          <w:szCs w:val="24"/>
        </w:rPr>
        <w:t xml:space="preserve">Author: Onkar Mane</w:t>
      </w:r>
    </w:p>
    <w:p>
      <w:pPr>
        <w:jc w:val="center"/>
      </w:pPr>
      <w:r>
        <w:rPr>
          <w:rFonts w:ascii="Arial" w:cs="Arial" w:eastAsia="Arial" w:hAnsi="Arial"/>
          <w:color w:val="2E5FA3"/>
          <w:sz w:val="24"/>
          <w:szCs w:val="24"/>
        </w:rPr>
        <w:t xml:space="preserve">GitHub: github.com/Onkar-Mane/enterprise-engineering-intelligence</w:t>
      </w:r>
    </w:p>
    <w:p>
      <w:pPr>
        <w:jc w:val="center"/>
      </w:pPr>
      <w:r>
        <w:rPr>
          <w:rFonts w:ascii="Arial" w:cs="Arial" w:eastAsia="Arial" w:hAnsi="Arial"/>
          <w:color w:val="444444"/>
          <w:sz w:val="24"/>
          <w:szCs w:val="24"/>
        </w:rPr>
        <w:t xml:space="preserve">Version: 1.0  |  May 2026</w:t>
      </w:r>
    </w:p>
    <w:p>
      <w:pPr>
        <w:spacing w:after="100" w:before="900"/>
      </w:pPr>
      <w:r>
        <w:t xml:space="preserve"/>
      </w:r>
    </w:p>
    <w:p>
      <w:r>
        <w:br w:type="page"/>
      </w:r>
    </w:p>
    <w:p>
      <w:pPr>
        <w:pStyle w:val="Heading1"/>
        <w:spacing w:after="120" w:before="440"/>
      </w:pPr>
      <w:r>
        <w:rPr>
          <w:rFonts w:ascii="Arial" w:cs="Arial" w:eastAsia="Arial" w:hAnsi="Arial"/>
          <w:b/>
          <w:bCs/>
          <w:color w:val="1F3864"/>
          <w:sz w:val="36"/>
          <w:szCs w:val="36"/>
        </w:rPr>
        <w:t xml:space="preserve">Abstract</w:t>
      </w:r>
    </w:p>
    <w:p>
      <w:pPr>
        <w:pBdr>
          <w:bottom w:val="single" w:color="2E75B6" w:sz="6" w:space="1"/>
        </w:pBdr>
        <w:spacing w:after="180" w:before="0"/>
      </w:pPr>
    </w:p>
    <w:p>
      <w:pPr>
        <w:spacing w:after="80" w:before="80"/>
        <w:jc w:val="both"/>
      </w:pPr>
      <w:r>
        <w:rPr>
          <w:rFonts w:ascii="Arial" w:cs="Arial" w:eastAsia="Arial" w:hAnsi="Arial"/>
          <w:color w:val="444444"/>
          <w:sz w:val="22"/>
          <w:szCs w:val="22"/>
        </w:rPr>
        <w:t xml:space="preserve">This paper presents a reference architecture for an Enterprise AI Engineering Intelligence Platform — a fully local, private system designed to provide AI-assisted understanding of large enterprise codebases. The architecture addresses a fundamental limitation of current AI coding tools: they are designed for small-to-medium projects and break down at enterprise scale.</w:t>
      </w:r>
    </w:p>
    <w:p>
      <w:pPr>
        <w:spacing w:after="100" w:before="100"/>
      </w:pPr>
      <w:r>
        <w:t xml:space="preserve"/>
      </w:r>
    </w:p>
    <w:p>
      <w:pPr>
        <w:spacing w:after="80" w:before="80"/>
        <w:jc w:val="both"/>
      </w:pPr>
      <w:r>
        <w:rPr>
          <w:rFonts w:ascii="Arial" w:cs="Arial" w:eastAsia="Arial" w:hAnsi="Arial"/>
          <w:color w:val="444444"/>
          <w:sz w:val="22"/>
          <w:szCs w:val="22"/>
        </w:rPr>
        <w:t xml:space="preserve">The core contribution is a hierarchical semantic indexing system that converts large codebases into structured, navigable intelligence. Rather than sending raw source code to AI models, the system builds a persistent knowledge layer that agents read instead — expanding to raw code only as a last resort. This approach is validated to work on consumer-grade hardware with 6GB VRAM and scales to server-grade infrastructure for team deployment.</w:t>
      </w:r>
    </w:p>
    <w:p>
      <w:pPr>
        <w:spacing w:after="100" w:before="100"/>
      </w:pPr>
      <w:r>
        <w:t xml:space="preserve"/>
      </w:r>
    </w:p>
    <w:p>
      <w:pPr>
        <w:spacing w:after="80" w:before="80"/>
        <w:jc w:val="both"/>
      </w:pPr>
      <w:r>
        <w:rPr>
          <w:rFonts w:ascii="Arial" w:cs="Arial" w:eastAsia="Arial" w:hAnsi="Arial"/>
          <w:color w:val="444444"/>
          <w:sz w:val="22"/>
          <w:szCs w:val="22"/>
        </w:rPr>
        <w:t xml:space="preserve">The architecture is applicable to any large enterprise codebase. The examples in this paper use a generalized ASP.NET WebForms / WCF / SQL Server stack as the reference implementation context, as this represents a common enterprise pattern with particularly challenging characteristics for AI tooling.</w:t>
      </w:r>
    </w:p>
    <w:p>
      <w:pPr>
        <w:spacing w:after="100" w:before="100"/>
      </w:pPr>
      <w:r>
        <w:t xml:space="preserve"/>
      </w:r>
    </w:p>
    <w:p>
      <w:r>
        <w:br w:type="page"/>
      </w:r>
    </w:p>
    <w:p>
      <w:pPr>
        <w:pStyle w:val="Heading1"/>
        <w:spacing w:after="120" w:before="440"/>
      </w:pPr>
      <w:r>
        <w:rPr>
          <w:rFonts w:ascii="Arial" w:cs="Arial" w:eastAsia="Arial" w:hAnsi="Arial"/>
          <w:b/>
          <w:bCs/>
          <w:color w:val="1F3864"/>
          <w:sz w:val="36"/>
          <w:szCs w:val="36"/>
        </w:rPr>
        <w:t xml:space="preserve">1. Executive Summary</w:t>
      </w:r>
    </w:p>
    <w:p>
      <w:pPr>
        <w:pBdr>
          <w:bottom w:val="single" w:color="2E75B6" w:sz="6" w:space="1"/>
        </w:pBdr>
        <w:spacing w:after="180" w:before="0"/>
      </w:pPr>
    </w:p>
    <w:p>
      <w:pPr>
        <w:spacing w:after="80" w:before="80"/>
        <w:jc w:val="both"/>
      </w:pPr>
      <w:r>
        <w:rPr>
          <w:rFonts w:ascii="Arial" w:cs="Arial" w:eastAsia="Arial" w:hAnsi="Arial"/>
          <w:color w:val="444444"/>
          <w:sz w:val="22"/>
          <w:szCs w:val="22"/>
        </w:rPr>
        <w:t xml:space="preserve">Enterprise software systems contain massive amounts of architectural intelligence that traditional AI coding assistants fail to leverage efficiently. This platform proposes a fundamentally different approach: instead of treating a codebase as a collection of raw text files to be chunked and embedded, it treats the codebase as a structured engineering system with workflows, layers, conventions, and relationships that can be navigated deterministically.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5D6E8" w:sz="1"/>
              <w:left w:val="single" w:color="C5D6E8" w:sz="1"/>
              <w:bottom w:val="single" w:color="C5D6E8" w:sz="1"/>
              <w:right w:val="single" w:color="C5D6E8" w:sz="1"/>
            </w:tcBorders>
            <w:shd w:fill="2E5FA3"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PROBLEM</w:t>
            </w:r>
          </w:p>
        </w:tc>
        <w:tc>
          <w:tcPr>
            <w:tcW w:type="dxa" w:w="8060"/>
            <w:tcBorders>
              <w:top w:val="single" w:color="C5D6E8" w:sz="1"/>
              <w:left w:val="single" w:color="C5D6E8" w:sz="1"/>
              <w:bottom w:val="single" w:color="C5D6E8" w:sz="1"/>
              <w:right w:val="single" w:color="C5D6E8" w:sz="1"/>
            </w:tcBorders>
            <w:shd w:fill="D6E4F0" w:val="clear"/>
            <w:tcMar>
              <w:top w:type="dxa" w:w="120"/>
              <w:left w:type="dxa" w:w="200"/>
              <w:bottom w:type="dxa" w:w="120"/>
              <w:right w:type="dxa" w:w="200"/>
            </w:tcMar>
          </w:tcPr>
          <w:p>
            <w:pPr>
              <w:jc w:val="both"/>
            </w:pPr>
            <w:r>
              <w:rPr>
                <w:rFonts w:ascii="Arial" w:cs="Arial" w:eastAsia="Arial" w:hAnsi="Arial"/>
                <w:color w:val="444444"/>
                <w:sz w:val="22"/>
                <w:szCs w:val="22"/>
              </w:rPr>
              <w:t xml:space="preserve">Large enterprise codebases — often containing millions of lines across layered architectures — overwhelm current AI tools. Models context-overflow, retrieve irrelevant code, lose architectural awareness, and require developers to re-explain the same context in every session.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5D6E8" w:sz="1"/>
              <w:left w:val="single" w:color="C5D6E8" w:sz="1"/>
              <w:bottom w:val="single" w:color="C5D6E8" w:sz="1"/>
              <w:right w:val="single" w:color="C5D6E8" w:sz="1"/>
            </w:tcBorders>
            <w:shd w:fill="2E5FA3"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SOLUTION</w:t>
            </w:r>
          </w:p>
        </w:tc>
        <w:tc>
          <w:tcPr>
            <w:tcW w:type="dxa" w:w="8060"/>
            <w:tcBorders>
              <w:top w:val="single" w:color="C5D6E8" w:sz="1"/>
              <w:left w:val="single" w:color="C5D6E8" w:sz="1"/>
              <w:bottom w:val="single" w:color="C5D6E8" w:sz="1"/>
              <w:right w:val="single" w:color="C5D6E8" w:sz="1"/>
            </w:tcBorders>
            <w:shd w:fill="D6E4F0" w:val="clear"/>
            <w:tcMar>
              <w:top w:type="dxa" w:w="120"/>
              <w:left w:type="dxa" w:w="200"/>
              <w:bottom w:type="dxa" w:w="120"/>
              <w:right w:type="dxa" w:w="200"/>
            </w:tcMar>
          </w:tcPr>
          <w:p>
            <w:pPr>
              <w:jc w:val="both"/>
            </w:pPr>
            <w:r>
              <w:rPr>
                <w:rFonts w:ascii="Arial" w:cs="Arial" w:eastAsia="Arial" w:hAnsi="Arial"/>
                <w:color w:val="444444"/>
                <w:sz w:val="22"/>
                <w:szCs w:val="22"/>
              </w:rPr>
              <w:t xml:space="preserve">A hierarchical semantic indexing system that converts the codebase into structured, navigable intelligence — allowing AI agents to retrieve precisely the right context without reading thousands of lines of raw code. All processing runs locally. No source code leaves the machine.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5D6E8" w:sz="1"/>
              <w:left w:val="single" w:color="C5D6E8" w:sz="1"/>
              <w:bottom w:val="single" w:color="C5D6E8" w:sz="1"/>
              <w:right w:val="single" w:color="C5D6E8" w:sz="1"/>
            </w:tcBorders>
            <w:shd w:fill="1A5C2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OUTCOME</w:t>
            </w:r>
          </w:p>
        </w:tc>
        <w:tc>
          <w:tcPr>
            <w:tcW w:type="dxa" w:w="8060"/>
            <w:tcBorders>
              <w:top w:val="single" w:color="C5D6E8" w:sz="1"/>
              <w:left w:val="single" w:color="C5D6E8" w:sz="1"/>
              <w:bottom w:val="single" w:color="C5D6E8" w:sz="1"/>
              <w:right w:val="single" w:color="C5D6E8" w:sz="1"/>
            </w:tcBorders>
            <w:shd w:fill="E8F5EC" w:val="clear"/>
            <w:tcMar>
              <w:top w:type="dxa" w:w="120"/>
              <w:left w:type="dxa" w:w="200"/>
              <w:bottom w:type="dxa" w:w="120"/>
              <w:right w:type="dxa" w:w="200"/>
            </w:tcMar>
          </w:tcPr>
          <w:p>
            <w:pPr>
              <w:jc w:val="both"/>
            </w:pPr>
            <w:r>
              <w:rPr>
                <w:rFonts w:ascii="Arial" w:cs="Arial" w:eastAsia="Arial" w:hAnsi="Arial"/>
                <w:color w:val="444444"/>
                <w:sz w:val="22"/>
                <w:szCs w:val="22"/>
              </w:rPr>
              <w:t xml:space="preserve">Faster development cycles, reliable impact analysis, reduced onboarding time, and a persistent institutional memory layer that accumulates value over time.</w:t>
            </w:r>
          </w:p>
        </w:tc>
      </w:tr>
    </w:tbl>
    <w:p>
      <w:pPr>
        <w:spacing w:after="100" w:before="100"/>
      </w:pPr>
      <w:r>
        <w:t xml:space="preserve"/>
      </w:r>
    </w:p>
    <w:p>
      <w:r>
        <w:br w:type="page"/>
      </w:r>
    </w:p>
    <w:p>
      <w:pPr>
        <w:pStyle w:val="Heading1"/>
        <w:spacing w:after="120" w:before="440"/>
      </w:pPr>
      <w:r>
        <w:rPr>
          <w:rFonts w:ascii="Arial" w:cs="Arial" w:eastAsia="Arial" w:hAnsi="Arial"/>
          <w:b/>
          <w:bCs/>
          <w:color w:val="1F3864"/>
          <w:sz w:val="36"/>
          <w:szCs w:val="36"/>
        </w:rPr>
        <w:t xml:space="preserve">2. Problem Statement</w:t>
      </w:r>
    </w:p>
    <w:p>
      <w:pPr>
        <w:pBdr>
          <w:bottom w:val="single" w:color="2E75B6" w:sz="6" w:space="1"/>
        </w:pBdr>
        <w:spacing w:after="180" w:before="0"/>
      </w:pPr>
    </w:p>
    <w:p>
      <w:pPr>
        <w:pStyle w:val="Heading2"/>
        <w:spacing w:after="100" w:before="320"/>
      </w:pPr>
      <w:r>
        <w:rPr>
          <w:rFonts w:ascii="Arial" w:cs="Arial" w:eastAsia="Arial" w:hAnsi="Arial"/>
          <w:b/>
          <w:bCs/>
          <w:color w:val="2E5FA3"/>
          <w:sz w:val="28"/>
          <w:szCs w:val="28"/>
        </w:rPr>
        <w:t xml:space="preserve">2.1 Scale of the Challenge</w:t>
      </w:r>
    </w:p>
    <w:p>
      <w:pPr>
        <w:spacing w:after="80" w:before="80"/>
        <w:jc w:val="both"/>
      </w:pPr>
      <w:r>
        <w:rPr>
          <w:rFonts w:ascii="Arial" w:cs="Arial" w:eastAsia="Arial" w:hAnsi="Arial"/>
          <w:color w:val="444444"/>
          <w:sz w:val="22"/>
          <w:szCs w:val="22"/>
        </w:rPr>
        <w:t xml:space="preserve">Large enterprise systems present a unique set of challenges that standard AI coding tools are not equipped to handle:</w:t>
      </w:r>
    </w:p>
    <w:p>
      <w:pPr>
        <w:spacing w:after="10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Individual service files frequently exceeding 40,000 lines of code</w:t>
      </w:r>
    </w:p>
    <w:p>
      <w:pPr>
        <w:pStyle w:val="ListParagraph"/>
        <w:numPr>
          <w:ilvl w:val="0"/>
          <w:numId w:val="2"/>
        </w:numPr>
        <w:spacing w:after="60" w:before="60"/>
      </w:pPr>
      <w:r>
        <w:rPr>
          <w:rFonts w:ascii="Arial" w:cs="Arial" w:eastAsia="Arial" w:hAnsi="Arial"/>
          <w:color w:val="444444"/>
          <w:sz w:val="22"/>
          <w:szCs w:val="22"/>
        </w:rPr>
        <w:t xml:space="preserve">Deep interdependencies across frontend, service, business logic, data access, and database layers</w:t>
      </w:r>
    </w:p>
    <w:p>
      <w:pPr>
        <w:pStyle w:val="ListParagraph"/>
        <w:numPr>
          <w:ilvl w:val="0"/>
          <w:numId w:val="2"/>
        </w:numPr>
        <w:spacing w:after="60" w:before="60"/>
      </w:pPr>
      <w:r>
        <w:rPr>
          <w:rFonts w:ascii="Arial" w:cs="Arial" w:eastAsia="Arial" w:hAnsi="Arial"/>
          <w:color w:val="444444"/>
          <w:sz w:val="22"/>
          <w:szCs w:val="22"/>
        </w:rPr>
        <w:t xml:space="preserve">Complex business logic embedded in naming conventions, magic numbers, and undocumented status codes</w:t>
      </w:r>
    </w:p>
    <w:p>
      <w:pPr>
        <w:pStyle w:val="ListParagraph"/>
        <w:numPr>
          <w:ilvl w:val="0"/>
          <w:numId w:val="2"/>
        </w:numPr>
        <w:spacing w:after="60" w:before="60"/>
      </w:pPr>
      <w:r>
        <w:rPr>
          <w:rFonts w:ascii="Arial" w:cs="Arial" w:eastAsia="Arial" w:hAnsi="Arial"/>
          <w:color w:val="444444"/>
          <w:sz w:val="22"/>
          <w:szCs w:val="22"/>
        </w:rPr>
        <w:t xml:space="preserve">No single developer holds complete knowledge of the entire system</w:t>
      </w:r>
    </w:p>
    <w:p>
      <w:pPr>
        <w:pStyle w:val="ListParagraph"/>
        <w:numPr>
          <w:ilvl w:val="0"/>
          <w:numId w:val="2"/>
        </w:numPr>
        <w:spacing w:after="60" w:before="60"/>
      </w:pPr>
      <w:r>
        <w:rPr>
          <w:rFonts w:ascii="Arial" w:cs="Arial" w:eastAsia="Arial" w:hAnsi="Arial"/>
          <w:color w:val="444444"/>
          <w:sz w:val="22"/>
          <w:szCs w:val="22"/>
        </w:rPr>
        <w:t xml:space="preserve">High risk of unintended impact when making changes to shared services</w:t>
      </w:r>
    </w:p>
    <w:p>
      <w:pPr>
        <w:pStyle w:val="ListParagraph"/>
        <w:numPr>
          <w:ilvl w:val="0"/>
          <w:numId w:val="2"/>
        </w:numPr>
        <w:spacing w:after="60" w:before="60"/>
      </w:pPr>
      <w:r>
        <w:rPr>
          <w:rFonts w:ascii="Arial" w:cs="Arial" w:eastAsia="Arial" w:hAnsi="Arial"/>
          <w:color w:val="444444"/>
          <w:sz w:val="22"/>
          <w:szCs w:val="22"/>
        </w:rPr>
        <w:t xml:space="preserve">Significant time spent re-explaining the same architectural context to AI tools in every session</w:t>
      </w:r>
    </w:p>
    <w:p>
      <w:pPr>
        <w:spacing w:after="100" w:before="100"/>
      </w:pPr>
      <w:r>
        <w:t xml:space="preserve"/>
      </w:r>
    </w:p>
    <w:p>
      <w:pPr>
        <w:pStyle w:val="Heading2"/>
        <w:spacing w:after="100" w:before="320"/>
      </w:pPr>
      <w:r>
        <w:rPr>
          <w:rFonts w:ascii="Arial" w:cs="Arial" w:eastAsia="Arial" w:hAnsi="Arial"/>
          <w:b/>
          <w:bCs/>
          <w:color w:val="2E5FA3"/>
          <w:sz w:val="28"/>
          <w:szCs w:val="28"/>
        </w:rPr>
        <w:t xml:space="preserve">2.2 Why Existing AI Tools Fail at Enterprise Scale</w:t>
      </w:r>
    </w:p>
    <w:p>
      <w:pPr>
        <w:spacing w:after="80" w:before="80"/>
        <w:jc w:val="both"/>
      </w:pPr>
      <w:r>
        <w:rPr>
          <w:rFonts w:ascii="Arial" w:cs="Arial" w:eastAsia="Arial" w:hAnsi="Arial"/>
          <w:color w:val="444444"/>
          <w:sz w:val="22"/>
          <w:szCs w:val="22"/>
        </w:rPr>
        <w:t xml:space="preserve">Current AI coding assistants — including GitHub Copilot, Cursor, and general-purpose cloud AI systems — are designed and optimized for small-to-medium projects. Applied to large enterprise codebases, they exhibit consistent failure patterns:</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2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66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25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Context overflow</w:t>
            </w:r>
          </w:p>
        </w:tc>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Model cannot process 40,000+ line files</w:t>
            </w:r>
          </w:p>
        </w:tc>
        <w:tc>
          <w:tcPr>
            <w:tcW w:type="dxa" w:w="36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reads partial code, produces incorrect answers</w:t>
            </w:r>
          </w:p>
        </w:tc>
      </w:tr>
      <w:tr>
        <w:tc>
          <w:tcPr>
            <w:tcW w:type="dxa" w:w="25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No persistent memory</w:t>
            </w:r>
          </w:p>
        </w:tc>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Each session starts with a blank context</w:t>
            </w:r>
          </w:p>
        </w:tc>
        <w:tc>
          <w:tcPr>
            <w:tcW w:type="dxa" w:w="36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Developers re-explain the same context repeatedly</w:t>
            </w:r>
          </w:p>
        </w:tc>
      </w:tr>
      <w:tr>
        <w:tc>
          <w:tcPr>
            <w:tcW w:type="dxa" w:w="25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Blind file search</w:t>
            </w:r>
          </w:p>
        </w:tc>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knowledge of codebase structure or conventions</w:t>
            </w:r>
          </w:p>
        </w:tc>
        <w:tc>
          <w:tcPr>
            <w:tcW w:type="dxa" w:w="36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reads dozens of irrelevant files to find one method</w:t>
            </w:r>
          </w:p>
        </w:tc>
      </w:tr>
      <w:tr>
        <w:tc>
          <w:tcPr>
            <w:tcW w:type="dxa" w:w="25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No business logic awareness</w:t>
            </w:r>
          </w:p>
        </w:tc>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Cannot interpret domain-specific patterns</w:t>
            </w:r>
          </w:p>
        </w:tc>
        <w:tc>
          <w:tcPr>
            <w:tcW w:type="dxa" w:w="36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Magic numbers and status codes are misinterpreted</w:t>
            </w:r>
          </w:p>
        </w:tc>
      </w:tr>
      <w:tr>
        <w:tc>
          <w:tcPr>
            <w:tcW w:type="dxa" w:w="25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Cloud dependency</w:t>
            </w:r>
          </w:p>
        </w:tc>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Code transmitted to external servers</w:t>
            </w:r>
          </w:p>
        </w:tc>
        <w:tc>
          <w:tcPr>
            <w:tcW w:type="dxa" w:w="36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Intellectual property exposure and compliance risk</w:t>
            </w:r>
          </w:p>
        </w:tc>
      </w:tr>
      <w:tr>
        <w:tc>
          <w:tcPr>
            <w:tcW w:type="dxa" w:w="25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No impact analysis</w:t>
            </w:r>
          </w:p>
        </w:tc>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No cross-layer relationship model</w:t>
            </w:r>
          </w:p>
        </w:tc>
        <w:tc>
          <w:tcPr>
            <w:tcW w:type="dxa" w:w="36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Changes made without understanding full consequences</w:t>
            </w:r>
          </w:p>
        </w:tc>
      </w:tr>
    </w:tbl>
    <w:p>
      <w:pPr>
        <w:spacing w:after="100" w:before="100"/>
      </w:pPr>
      <w:r>
        <w:t xml:space="preserve"/>
      </w:r>
    </w:p>
    <w:p>
      <w:pPr>
        <w:pStyle w:val="Heading2"/>
        <w:spacing w:after="100" w:before="320"/>
      </w:pPr>
      <w:r>
        <w:rPr>
          <w:rFonts w:ascii="Arial" w:cs="Arial" w:eastAsia="Arial" w:hAnsi="Arial"/>
          <w:b/>
          <w:bCs/>
          <w:color w:val="2E5FA3"/>
          <w:sz w:val="28"/>
          <w:szCs w:val="28"/>
        </w:rPr>
        <w:t xml:space="preserve">2.3 The Real Cost</w:t>
      </w:r>
    </w:p>
    <w:p>
      <w:pPr>
        <w:spacing w:after="80" w:before="80"/>
        <w:jc w:val="both"/>
      </w:pPr>
      <w:r>
        <w:rPr>
          <w:rFonts w:ascii="Arial" w:cs="Arial" w:eastAsia="Arial" w:hAnsi="Arial"/>
          <w:color w:val="444444"/>
          <w:sz w:val="22"/>
          <w:szCs w:val="22"/>
        </w:rPr>
        <w:t xml:space="preserve">These failure modes translate directly into measurable engineering cost in any large enterprise environment:</w:t>
      </w:r>
    </w:p>
    <w:p>
      <w:pPr>
        <w:spacing w:after="10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30 to 45 minutes per day per developer spent locating relevant code sections</w:t>
      </w:r>
    </w:p>
    <w:p>
      <w:pPr>
        <w:pStyle w:val="ListParagraph"/>
        <w:numPr>
          <w:ilvl w:val="0"/>
          <w:numId w:val="2"/>
        </w:numPr>
        <w:spacing w:after="60" w:before="60"/>
      </w:pPr>
      <w:r>
        <w:rPr>
          <w:rFonts w:ascii="Arial" w:cs="Arial" w:eastAsia="Arial" w:hAnsi="Arial"/>
          <w:color w:val="444444"/>
          <w:sz w:val="22"/>
          <w:szCs w:val="22"/>
        </w:rPr>
        <w:t xml:space="preserve">2 to 4 hours per impact analysis cycle that should take 20 minutes with proper tooling</w:t>
      </w:r>
    </w:p>
    <w:p>
      <w:pPr>
        <w:pStyle w:val="ListParagraph"/>
        <w:numPr>
          <w:ilvl w:val="0"/>
          <w:numId w:val="2"/>
        </w:numPr>
        <w:spacing w:after="60" w:before="60"/>
      </w:pPr>
      <w:r>
        <w:rPr>
          <w:rFonts w:ascii="Arial" w:cs="Arial" w:eastAsia="Arial" w:hAnsi="Arial"/>
          <w:color w:val="444444"/>
          <w:sz w:val="22"/>
          <w:szCs w:val="22"/>
        </w:rPr>
        <w:t xml:space="preserve">Repeated onboarding effort each time a developer moves to an unfamiliar module</w:t>
      </w:r>
    </w:p>
    <w:p>
      <w:pPr>
        <w:pStyle w:val="ListParagraph"/>
        <w:numPr>
          <w:ilvl w:val="0"/>
          <w:numId w:val="2"/>
        </w:numPr>
        <w:spacing w:after="60" w:before="60"/>
      </w:pPr>
      <w:r>
        <w:rPr>
          <w:rFonts w:ascii="Arial" w:cs="Arial" w:eastAsia="Arial" w:hAnsi="Arial"/>
          <w:color w:val="444444"/>
          <w:sz w:val="22"/>
          <w:szCs w:val="22"/>
        </w:rPr>
        <w:t xml:space="preserve">Production bugs caused by incomplete understanding of cross-service dependencies</w:t>
      </w:r>
    </w:p>
    <w:p>
      <w:pPr>
        <w:spacing w:after="100" w:before="100"/>
      </w:pPr>
      <w:r>
        <w:t xml:space="preserve"/>
      </w:r>
    </w:p>
    <w:p>
      <w:r>
        <w:br w:type="page"/>
      </w:r>
    </w:p>
    <w:p>
      <w:pPr>
        <w:pStyle w:val="Heading1"/>
        <w:spacing w:after="120" w:before="440"/>
      </w:pPr>
      <w:r>
        <w:rPr>
          <w:rFonts w:ascii="Arial" w:cs="Arial" w:eastAsia="Arial" w:hAnsi="Arial"/>
          <w:b/>
          <w:bCs/>
          <w:color w:val="1F3864"/>
          <w:sz w:val="36"/>
          <w:szCs w:val="36"/>
        </w:rPr>
        <w:t xml:space="preserve">3. Proposed Architecture</w:t>
      </w:r>
    </w:p>
    <w:p>
      <w:pPr>
        <w:pBdr>
          <w:bottom w:val="single" w:color="2E75B6" w:sz="6" w:space="1"/>
        </w:pBdr>
        <w:spacing w:after="180" w:before="0"/>
      </w:pPr>
    </w:p>
    <w:p>
      <w:pPr>
        <w:pStyle w:val="Heading2"/>
        <w:spacing w:after="100" w:before="320"/>
      </w:pPr>
      <w:r>
        <w:rPr>
          <w:rFonts w:ascii="Arial" w:cs="Arial" w:eastAsia="Arial" w:hAnsi="Arial"/>
          <w:b/>
          <w:bCs/>
          <w:color w:val="2E5FA3"/>
          <w:sz w:val="28"/>
          <w:szCs w:val="28"/>
        </w:rPr>
        <w:t xml:space="preserve">3.1 Core Principle: Hierarchical Semantic Indexing</w:t>
      </w:r>
    </w:p>
    <w:p>
      <w:pPr>
        <w:spacing w:after="80" w:before="80"/>
        <w:jc w:val="both"/>
      </w:pPr>
      <w:r>
        <w:rPr>
          <w:rFonts w:ascii="Arial" w:cs="Arial" w:eastAsia="Arial" w:hAnsi="Arial"/>
          <w:color w:val="444444"/>
          <w:sz w:val="22"/>
          <w:szCs w:val="22"/>
        </w:rPr>
        <w:t xml:space="preserve">The platform is built on a single foundational principle: the AI agent should never read raw code unless absolutely necessary. Instead, it reads structured intelligence derived from the code — then expands to raw code only as a last resort.</w:t>
      </w:r>
    </w:p>
    <w:p>
      <w:pPr>
        <w:spacing w:after="100" w:before="100"/>
      </w:pPr>
      <w:r>
        <w:t xml:space="preserve"/>
      </w:r>
    </w:p>
    <w:p>
      <w:pPr>
        <w:spacing w:after="80" w:before="80"/>
        <w:jc w:val="both"/>
      </w:pPr>
      <w:r>
        <w:rPr>
          <w:rFonts w:ascii="Arial" w:cs="Arial" w:eastAsia="Arial" w:hAnsi="Arial"/>
          <w:color w:val="444444"/>
          <w:sz w:val="22"/>
          <w:szCs w:val="22"/>
        </w:rPr>
        <w:t xml:space="preserve">This is achieved through a Hierarchical Semantic Index — a structured knowledge layer built on top of the codebase. Every file, service, workflow, and business rule is captured at multiple levels of detail, with precise navigation pointers enabling the agent to retrieve exactly what it needs with minimum token consumption.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5D6E8" w:sz="1"/>
              <w:left w:val="single" w:color="C5D6E8" w:sz="1"/>
              <w:bottom w:val="single" w:color="C5D6E8" w:sz="1"/>
              <w:right w:val="single" w:color="C5D6E8" w:sz="1"/>
            </w:tcBorders>
            <w:shd w:fill="2E5FA3"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INSIGHT</w:t>
            </w:r>
          </w:p>
        </w:tc>
        <w:tc>
          <w:tcPr>
            <w:tcW w:type="dxa" w:w="8060"/>
            <w:tcBorders>
              <w:top w:val="single" w:color="C5D6E8" w:sz="1"/>
              <w:left w:val="single" w:color="C5D6E8" w:sz="1"/>
              <w:bottom w:val="single" w:color="C5D6E8" w:sz="1"/>
              <w:right w:val="single" w:color="C5D6E8" w:sz="1"/>
            </w:tcBorders>
            <w:shd w:fill="D6E4F0" w:val="clear"/>
            <w:tcMar>
              <w:top w:type="dxa" w:w="120"/>
              <w:left w:type="dxa" w:w="200"/>
              <w:bottom w:type="dxa" w:w="120"/>
              <w:right w:type="dxa" w:w="200"/>
            </w:tcMar>
          </w:tcPr>
          <w:p>
            <w:pPr>
              <w:jc w:val="both"/>
            </w:pPr>
            <w:r>
              <w:rPr>
                <w:rFonts w:ascii="Arial" w:cs="Arial" w:eastAsia="Arial" w:hAnsi="Arial"/>
                <w:color w:val="444444"/>
                <w:sz w:val="22"/>
                <w:szCs w:val="22"/>
              </w:rPr>
              <w:t xml:space="preserve">A small local AI model cannot reliably process 40,000 lines of raw code. The same model can perfectly answer questions about that code when given a 2,000-line structured summary. The intelligence is in the index, not the model size.</w:t>
            </w:r>
          </w:p>
        </w:tc>
      </w:tr>
    </w:tbl>
    <w:p>
      <w:pPr>
        <w:spacing w:after="100" w:before="100"/>
      </w:pPr>
      <w:r>
        <w:t xml:space="preserve"/>
      </w:r>
    </w:p>
    <w:p>
      <w:pPr>
        <w:pStyle w:val="Heading2"/>
        <w:spacing w:after="100" w:before="320"/>
      </w:pPr>
      <w:r>
        <w:rPr>
          <w:rFonts w:ascii="Arial" w:cs="Arial" w:eastAsia="Arial" w:hAnsi="Arial"/>
          <w:b/>
          <w:bCs/>
          <w:color w:val="2E5FA3"/>
          <w:sz w:val="28"/>
          <w:szCs w:val="28"/>
        </w:rPr>
        <w:t xml:space="preserve">3.2 Five-Level Retrieval Hierarchy</w:t>
      </w:r>
    </w:p>
    <w:p>
      <w:pPr>
        <w:spacing w:after="80" w:before="80"/>
        <w:jc w:val="both"/>
      </w:pPr>
      <w:r>
        <w:rPr>
          <w:rFonts w:ascii="Arial" w:cs="Arial" w:eastAsia="Arial" w:hAnsi="Arial"/>
          <w:color w:val="444444"/>
          <w:sz w:val="22"/>
          <w:szCs w:val="22"/>
        </w:rPr>
        <w:t xml:space="preserve">Every query follows a strict retrieval hierarchy. The agent advances to the next level only when the current level is insufficient to answer the question:</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1700"/>
        <w:gridCol w:w="2760"/>
      </w:tblGrid>
      <w:tr>
        <w:trPr>
          <w:tblHeader/>
        </w:trPr>
        <w:tc>
          <w:tcPr>
            <w:tcW w:type="dxa" w:w="20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9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Is Loaded</w:t>
            </w:r>
          </w:p>
        </w:tc>
        <w:tc>
          <w:tcPr>
            <w:tcW w:type="dxa" w:w="17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Token Cost</w:t>
            </w:r>
          </w:p>
        </w:tc>
        <w:tc>
          <w:tcPr>
            <w:tcW w:type="dxa" w:w="276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Answers</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 — Retrieval Hints</w:t>
            </w:r>
          </w:p>
        </w:tc>
        <w:tc>
          <w:tcPr>
            <w:tcW w:type="dxa" w:w="29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 to 6 plain English questions this file can answer</w:t>
            </w:r>
          </w:p>
        </w:tc>
        <w:tc>
          <w:tcPr>
            <w:tcW w:type="dxa" w:w="17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 tokens</w:t>
            </w:r>
          </w:p>
        </w:tc>
        <w:tc>
          <w:tcPr>
            <w:tcW w:type="dxa" w:w="27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Is this file relevant at all?</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2 — Contents Index</w:t>
            </w:r>
          </w:p>
        </w:tc>
        <w:tc>
          <w:tcPr>
            <w:tcW w:type="dxa" w:w="29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Region map, line ranges, method list with one-line summaries</w:t>
            </w:r>
          </w:p>
        </w:tc>
        <w:tc>
          <w:tcPr>
            <w:tcW w:type="dxa" w:w="17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~300 tokens</w:t>
            </w:r>
          </w:p>
        </w:tc>
        <w:tc>
          <w:tcPr>
            <w:tcW w:type="dxa" w:w="27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Which region? Which method?</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 — Brief Context</w:t>
            </w:r>
          </w:p>
        </w:tc>
        <w:tc>
          <w:tcPr>
            <w:tcW w:type="dxa" w:w="29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Plain English paragraph per region</w:t>
            </w:r>
          </w:p>
        </w:tc>
        <w:tc>
          <w:tcPr>
            <w:tcW w:type="dxa" w:w="17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~500 tokens</w:t>
            </w:r>
          </w:p>
        </w:tc>
        <w:tc>
          <w:tcPr>
            <w:tcW w:type="dxa" w:w="27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does this region do?</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4 — Detailed Context</w:t>
            </w:r>
          </w:p>
        </w:tc>
        <w:tc>
          <w:tcPr>
            <w:tcW w:type="dxa" w:w="29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Conditions, edge cases, execution workflow, full method details</w:t>
            </w:r>
          </w:p>
        </w:tc>
        <w:tc>
          <w:tcPr>
            <w:tcW w:type="dxa" w:w="17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~2,000 tokens</w:t>
            </w:r>
          </w:p>
        </w:tc>
        <w:tc>
          <w:tcPr>
            <w:tcW w:type="dxa" w:w="27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How does it work exactly?</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 — Raw Code</w:t>
            </w:r>
          </w:p>
        </w:tc>
        <w:tc>
          <w:tcPr>
            <w:tcW w:type="dxa" w:w="29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Exact method at exact line number</w:t>
            </w:r>
          </w:p>
        </w:tc>
        <w:tc>
          <w:tcPr>
            <w:tcW w:type="dxa" w:w="17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Variable</w:t>
            </w:r>
          </w:p>
        </w:tc>
        <w:tc>
          <w:tcPr>
            <w:tcW w:type="dxa" w:w="27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is the actual implementation?</w:t>
            </w:r>
          </w:p>
        </w:tc>
      </w:tr>
    </w:tbl>
    <w:p>
      <w:pPr>
        <w:spacing w:after="100" w:before="100"/>
      </w:pPr>
      <w:r>
        <w:t xml:space="preserve"/>
      </w:r>
    </w:p>
    <w:p>
      <w:pPr>
        <w:spacing w:after="80" w:before="80"/>
        <w:jc w:val="both"/>
      </w:pPr>
      <w:r>
        <w:rPr>
          <w:rFonts w:ascii="Arial" w:cs="Arial" w:eastAsia="Arial" w:hAnsi="Arial"/>
          <w:color w:val="444444"/>
          <w:sz w:val="22"/>
          <w:szCs w:val="22"/>
        </w:rPr>
        <w:t xml:space="preserve">In practice, 80% of developer questions are fully answered at Level 2 or Level 3. Raw code at Level 5 is accessed only for direct implementation work.</w:t>
      </w:r>
    </w:p>
    <w:p>
      <w:pPr>
        <w:spacing w:after="100" w:before="100"/>
      </w:pPr>
      <w:r>
        <w:t xml:space="preserve"/>
      </w:r>
    </w:p>
    <w:p>
      <w:pPr>
        <w:pStyle w:val="Heading2"/>
        <w:spacing w:after="100" w:before="320"/>
      </w:pPr>
      <w:r>
        <w:rPr>
          <w:rFonts w:ascii="Arial" w:cs="Arial" w:eastAsia="Arial" w:hAnsi="Arial"/>
          <w:b/>
          <w:bCs/>
          <w:color w:val="2E5FA3"/>
          <w:sz w:val="28"/>
          <w:szCs w:val="28"/>
        </w:rPr>
        <w:t xml:space="preserve">3.3 Hybrid Retrieval Architecture</w:t>
      </w:r>
    </w:p>
    <w:p>
      <w:pPr>
        <w:spacing w:after="80" w:before="80"/>
        <w:jc w:val="both"/>
      </w:pPr>
      <w:r>
        <w:rPr>
          <w:rFonts w:ascii="Arial" w:cs="Arial" w:eastAsia="Arial" w:hAnsi="Arial"/>
          <w:color w:val="444444"/>
          <w:sz w:val="22"/>
          <w:szCs w:val="22"/>
        </w:rPr>
        <w:t xml:space="preserve">The platform combines two complementary retrieval strategies:</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80"/>
        <w:gridCol w:w="3080"/>
      </w:tblGrid>
      <w:tr>
        <w:trPr>
          <w:tblHeader/>
        </w:trPr>
        <w:tc>
          <w:tcPr>
            <w:tcW w:type="dxa" w:w="20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428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08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Deterministic Retrieval</w:t>
            </w:r>
          </w:p>
        </w:tc>
        <w:tc>
          <w:tcPr>
            <w:tcW w:type="dxa" w:w="428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Uses workflow mappings, naming conventions, folder structures, and service relationships embedded in the codebase architecture. Related files are treated as unified workflow domains.</w:t>
            </w:r>
          </w:p>
        </w:tc>
        <w:tc>
          <w:tcPr>
            <w:tcW w:type="dxa" w:w="308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choice — fast, precise, no embedding computation required</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Semantic Retrieval</w:t>
            </w:r>
          </w:p>
        </w:tc>
        <w:tc>
          <w:tcPr>
            <w:tcW w:type="dxa" w:w="428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Uses embeddings, summaries, keywords, and similarity matching across the indexed intelligence layer.</w:t>
            </w:r>
          </w:p>
        </w:tc>
        <w:tc>
          <w:tcPr>
            <w:tcW w:type="dxa" w:w="308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Supplementary — when deterministic routing is insufficient or cross-workflow search is needed</w:t>
            </w:r>
          </w:p>
        </w:tc>
      </w:tr>
    </w:tbl>
    <w:p>
      <w:pPr>
        <w:spacing w:after="100" w:before="100"/>
      </w:pPr>
      <w:r>
        <w:t xml:space="preserve"/>
      </w:r>
    </w:p>
    <w:p>
      <w:pPr>
        <w:spacing w:after="80" w:before="80"/>
        <w:jc w:val="both"/>
      </w:pPr>
      <w:r>
        <w:rPr>
          <w:rFonts w:ascii="Arial" w:cs="Arial" w:eastAsia="Arial" w:hAnsi="Arial"/>
          <w:color w:val="444444"/>
          <w:sz w:val="22"/>
          <w:szCs w:val="22"/>
        </w:rPr>
        <w:t xml:space="preserve">This hybrid approach delivers significantly higher retrieval precision than traditional RAG systems that rely solely on vector similarity search. Deterministic routing is always attempted first. Semantic retrieval supplements it.</w:t>
      </w:r>
    </w:p>
    <w:p>
      <w:pPr>
        <w:spacing w:after="100" w:before="100"/>
      </w:pPr>
      <w:r>
        <w:t xml:space="preserve"/>
      </w:r>
    </w:p>
    <w:p>
      <w:pPr>
        <w:pStyle w:val="Heading2"/>
        <w:spacing w:after="100" w:before="320"/>
      </w:pPr>
      <w:r>
        <w:rPr>
          <w:rFonts w:ascii="Arial" w:cs="Arial" w:eastAsia="Arial" w:hAnsi="Arial"/>
          <w:b/>
          <w:bCs/>
          <w:color w:val="2E5FA3"/>
          <w:sz w:val="28"/>
          <w:szCs w:val="28"/>
        </w:rPr>
        <w:t xml:space="preserve">3.4 Workflow-Centric Intelligence Model</w:t>
      </w:r>
    </w:p>
    <w:p>
      <w:pPr>
        <w:spacing w:after="80" w:before="80"/>
        <w:jc w:val="both"/>
      </w:pPr>
      <w:r>
        <w:rPr>
          <w:rFonts w:ascii="Arial" w:cs="Arial" w:eastAsia="Arial" w:hAnsi="Arial"/>
          <w:color w:val="444444"/>
          <w:sz w:val="22"/>
          <w:szCs w:val="22"/>
        </w:rPr>
        <w:t xml:space="preserve">The platform treats business workflows as first-class intelligence units rather than indexing files in isolation. Related components across all architectural layers are grouped into unified workflow structures. The following example illustrates this for a generalized enterprise workflow:</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Component</w:t>
            </w:r>
          </w:p>
        </w:tc>
        <w:tc>
          <w:tcPr>
            <w:tcW w:type="dxa" w:w="476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Workflow</w:t>
            </w:r>
          </w:p>
        </w:tc>
      </w:tr>
      <w:tr>
        <w:tc>
          <w:tcPr>
            <w:tcW w:type="dxa" w:w="18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w:t>
            </w:r>
          </w:p>
        </w:tc>
        <w:tc>
          <w:tcPr>
            <w:tcW w:type="dxa" w:w="28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OrderEntry.aspx + OrderEntry.js</w:t>
            </w:r>
          </w:p>
        </w:tc>
        <w:tc>
          <w:tcPr>
            <w:tcW w:type="dxa" w:w="47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UI definition and user interaction logic</w:t>
            </w:r>
          </w:p>
        </w:tc>
      </w:tr>
      <w:tr>
        <w:tc>
          <w:tcPr>
            <w:tcW w:type="dxa" w:w="18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Service Interface</w:t>
            </w:r>
          </w:p>
        </w:tc>
        <w:tc>
          <w:tcPr>
            <w:tcW w:type="dxa" w:w="28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OrderEntry.asmx</w:t>
            </w:r>
          </w:p>
        </w:tc>
        <w:tc>
          <w:tcPr>
            <w:tcW w:type="dxa" w:w="47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ASMX endpoint exposing workflow to frontend</w:t>
            </w:r>
          </w:p>
        </w:tc>
      </w:tr>
      <w:tr>
        <w:tc>
          <w:tcPr>
            <w:tcW w:type="dxa" w:w="18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WCF Service</w:t>
            </w:r>
          </w:p>
        </w:tc>
        <w:tc>
          <w:tcPr>
            <w:tcW w:type="dxa" w:w="28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OrderEntryService.svc</w:t>
            </w:r>
          </w:p>
        </w:tc>
        <w:tc>
          <w:tcPr>
            <w:tcW w:type="dxa" w:w="47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Core business logic and orchestration</w:t>
            </w:r>
          </w:p>
        </w:tc>
      </w:tr>
      <w:tr>
        <w:tc>
          <w:tcPr>
            <w:tcW w:type="dxa" w:w="18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Business Logic</w:t>
            </w:r>
          </w:p>
        </w:tc>
        <w:tc>
          <w:tcPr>
            <w:tcW w:type="dxa" w:w="28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OrderEntryBLL.cs</w:t>
            </w:r>
          </w:p>
        </w:tc>
        <w:tc>
          <w:tcPr>
            <w:tcW w:type="dxa" w:w="47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Validation rules and business processing</w:t>
            </w:r>
          </w:p>
        </w:tc>
      </w:tr>
      <w:tr>
        <w:tc>
          <w:tcPr>
            <w:tcW w:type="dxa" w:w="18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Access</w:t>
            </w:r>
          </w:p>
        </w:tc>
        <w:tc>
          <w:tcPr>
            <w:tcW w:type="dxa" w:w="28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OrderEntryDAL.cs</w:t>
            </w:r>
          </w:p>
        </w:tc>
        <w:tc>
          <w:tcPr>
            <w:tcW w:type="dxa" w:w="47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Database queries and persistence</w:t>
            </w:r>
          </w:p>
        </w:tc>
      </w:tr>
      <w:tr>
        <w:tc>
          <w:tcPr>
            <w:tcW w:type="dxa" w:w="18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28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SQL Server — orders, order_lines, status_codes</w:t>
            </w:r>
          </w:p>
        </w:tc>
        <w:tc>
          <w:tcPr>
            <w:tcW w:type="dxa" w:w="47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Underlying data entities</w:t>
            </w:r>
          </w:p>
        </w:tc>
      </w:tr>
    </w:tbl>
    <w:p>
      <w:pPr>
        <w:spacing w:after="100" w:before="100"/>
      </w:pPr>
      <w:r>
        <w:t xml:space="preserve"/>
      </w:r>
    </w:p>
    <w:p>
      <w:pPr>
        <w:spacing w:after="80" w:before="80"/>
        <w:jc w:val="both"/>
      </w:pPr>
      <w:r>
        <w:rPr>
          <w:rFonts w:ascii="Arial" w:cs="Arial" w:eastAsia="Arial" w:hAnsi="Arial"/>
          <w:color w:val="444444"/>
          <w:sz w:val="22"/>
          <w:szCs w:val="22"/>
        </w:rPr>
        <w:t xml:space="preserve">This workflow-centric model enables cross-layer reasoning, impact analysis, and dependency tracing that file-level indexing systems cannot provide.</w:t>
      </w:r>
    </w:p>
    <w:p>
      <w:pPr>
        <w:spacing w:after="100" w:before="100"/>
      </w:pPr>
      <w:r>
        <w:t xml:space="preserve"/>
      </w:r>
    </w:p>
    <w:p>
      <w:pPr>
        <w:pStyle w:val="Heading2"/>
        <w:spacing w:after="100" w:before="320"/>
      </w:pPr>
      <w:r>
        <w:rPr>
          <w:rFonts w:ascii="Arial" w:cs="Arial" w:eastAsia="Arial" w:hAnsi="Arial"/>
          <w:b/>
          <w:bCs/>
          <w:color w:val="2E5FA3"/>
          <w:sz w:val="28"/>
          <w:szCs w:val="28"/>
        </w:rPr>
        <w:t xml:space="preserve">3.5 Context File Structure</w:t>
      </w:r>
    </w:p>
    <w:p>
      <w:pPr>
        <w:spacing w:after="80" w:before="80"/>
        <w:jc w:val="both"/>
      </w:pPr>
      <w:r>
        <w:rPr>
          <w:rFonts w:ascii="Arial" w:cs="Arial" w:eastAsia="Arial" w:hAnsi="Arial"/>
          <w:color w:val="444444"/>
          <w:sz w:val="22"/>
          <w:szCs w:val="22"/>
        </w:rPr>
        <w:t xml:space="preserve">Each indexed source file produces one structured JSON context file. The file is designed for progressive loading — agents read only what the question requires:</w:t>
      </w:r>
    </w:p>
    <w:p>
      <w:pPr>
        <w:spacing w:after="10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File Identity — physical path, type, layer, hash, total line count</w:t>
      </w:r>
    </w:p>
    <w:p>
      <w:pPr>
        <w:pStyle w:val="ListParagraph"/>
        <w:numPr>
          <w:ilvl w:val="0"/>
          <w:numId w:val="2"/>
        </w:numPr>
        <w:spacing w:after="60" w:before="60"/>
      </w:pPr>
      <w:r>
        <w:rPr>
          <w:rFonts w:ascii="Arial" w:cs="Arial" w:eastAsia="Arial" w:hAnsi="Arial"/>
          <w:color w:val="444444"/>
          <w:sz w:val="22"/>
          <w:szCs w:val="22"/>
        </w:rPr>
        <w:t xml:space="preserve">Retrieval Hints — plain English questions this file can answer (always loaded first)</w:t>
      </w:r>
    </w:p>
    <w:p>
      <w:pPr>
        <w:pStyle w:val="ListParagraph"/>
        <w:numPr>
          <w:ilvl w:val="0"/>
          <w:numId w:val="2"/>
        </w:numPr>
        <w:spacing w:after="60" w:before="60"/>
      </w:pPr>
      <w:r>
        <w:rPr>
          <w:rFonts w:ascii="Arial" w:cs="Arial" w:eastAsia="Arial" w:hAnsi="Arial"/>
          <w:color w:val="444444"/>
          <w:sz w:val="22"/>
          <w:szCs w:val="22"/>
        </w:rPr>
        <w:t xml:space="preserve">Contents Index — all regions with line ranges, method counts, and one-line summaries</w:t>
      </w:r>
    </w:p>
    <w:p>
      <w:pPr>
        <w:pStyle w:val="ListParagraph"/>
        <w:numPr>
          <w:ilvl w:val="0"/>
          <w:numId w:val="2"/>
        </w:numPr>
        <w:spacing w:after="60" w:before="60"/>
      </w:pPr>
      <w:r>
        <w:rPr>
          <w:rFonts w:ascii="Arial" w:cs="Arial" w:eastAsia="Arial" w:hAnsi="Arial"/>
          <w:color w:val="444444"/>
          <w:sz w:val="22"/>
          <w:szCs w:val="22"/>
        </w:rPr>
        <w:t xml:space="preserve">Local Common (LC) — magic numbers, shared variables, and patterns within this file</w:t>
      </w:r>
    </w:p>
    <w:p>
      <w:pPr>
        <w:pStyle w:val="ListParagraph"/>
        <w:numPr>
          <w:ilvl w:val="0"/>
          <w:numId w:val="2"/>
        </w:numPr>
        <w:spacing w:after="60" w:before="60"/>
      </w:pPr>
      <w:r>
        <w:rPr>
          <w:rFonts w:ascii="Arial" w:cs="Arial" w:eastAsia="Arial" w:hAnsi="Arial"/>
          <w:color w:val="444444"/>
          <w:sz w:val="22"/>
          <w:szCs w:val="22"/>
        </w:rPr>
        <w:t xml:space="preserve">Brief Context — one plain English paragraph per region</w:t>
      </w:r>
    </w:p>
    <w:p>
      <w:pPr>
        <w:pStyle w:val="ListParagraph"/>
        <w:numPr>
          <w:ilvl w:val="0"/>
          <w:numId w:val="2"/>
        </w:numPr>
        <w:spacing w:after="60" w:before="60"/>
      </w:pPr>
      <w:r>
        <w:rPr>
          <w:rFonts w:ascii="Arial" w:cs="Arial" w:eastAsia="Arial" w:hAnsi="Arial"/>
          <w:color w:val="444444"/>
          <w:sz w:val="22"/>
          <w:szCs w:val="22"/>
        </w:rPr>
        <w:t xml:space="preserve">Detailed Context — conditions, edge cases, execution workflow, full method details with exact line numbers</w:t>
      </w:r>
    </w:p>
    <w:p>
      <w:pPr>
        <w:pStyle w:val="ListParagraph"/>
        <w:numPr>
          <w:ilvl w:val="0"/>
          <w:numId w:val="2"/>
        </w:numPr>
        <w:spacing w:after="60" w:before="60"/>
      </w:pPr>
      <w:r>
        <w:rPr>
          <w:rFonts w:ascii="Arial" w:cs="Arial" w:eastAsia="Arial" w:hAnsi="Arial"/>
          <w:color w:val="444444"/>
          <w:sz w:val="22"/>
          <w:szCs w:val="22"/>
        </w:rPr>
        <w:t xml:space="preserve">Questions Answered — permanent record of business logic answers provided by developers</w:t>
      </w:r>
    </w:p>
    <w:p>
      <w:pPr>
        <w:pStyle w:val="ListParagraph"/>
        <w:numPr>
          <w:ilvl w:val="0"/>
          <w:numId w:val="2"/>
        </w:numPr>
        <w:spacing w:after="60" w:before="60"/>
      </w:pPr>
      <w:r>
        <w:rPr>
          <w:rFonts w:ascii="Arial" w:cs="Arial" w:eastAsia="Arial" w:hAnsi="Arial"/>
          <w:color w:val="444444"/>
          <w:sz w:val="22"/>
          <w:szCs w:val="22"/>
        </w:rPr>
        <w:t xml:space="preserve">Conflicts — discrepancies between implementations, resolved and recorded</w:t>
      </w:r>
    </w:p>
    <w:p>
      <w:pPr>
        <w:spacing w:after="100" w:before="100"/>
      </w:pPr>
      <w:r>
        <w:t xml:space="preserve"/>
      </w:r>
    </w:p>
    <w:p>
      <w:pPr>
        <w:spacing w:after="80" w:before="80"/>
        <w:jc w:val="both"/>
      </w:pPr>
      <w:r>
        <w:rPr>
          <w:rFonts w:ascii="Arial" w:cs="Arial" w:eastAsia="Arial" w:hAnsi="Arial"/>
          <w:color w:val="444444"/>
          <w:sz w:val="22"/>
          <w:szCs w:val="22"/>
        </w:rPr>
        <w:t xml:space="preserve">Two common layers are maintained: Local Common (LC) for entities shared within one file, and Global Common (GC) for entities shared across multiple services. This eliminates duplication and ensures consistency across the full index.</w:t>
      </w:r>
    </w:p>
    <w:p>
      <w:pPr>
        <w:spacing w:after="100" w:before="100"/>
      </w:pPr>
      <w:r>
        <w:t xml:space="preserve"/>
      </w:r>
    </w:p>
    <w:p>
      <w:pPr>
        <w:pStyle w:val="Heading2"/>
        <w:spacing w:after="100" w:before="320"/>
      </w:pPr>
      <w:r>
        <w:rPr>
          <w:rFonts w:ascii="Arial" w:cs="Arial" w:eastAsia="Arial" w:hAnsi="Arial"/>
          <w:b/>
          <w:bCs/>
          <w:color w:val="2E5FA3"/>
          <w:sz w:val="28"/>
          <w:szCs w:val="28"/>
        </w:rPr>
        <w:t xml:space="preserve">3.6 Two-Stage Indexing Workflow</w:t>
      </w:r>
    </w:p>
    <w:p>
      <w:pPr>
        <w:spacing w:after="80" w:before="80"/>
        <w:jc w:val="both"/>
      </w:pPr>
      <w:r>
        <w:rPr>
          <w:rFonts w:ascii="Arial" w:cs="Arial" w:eastAsia="Arial" w:hAnsi="Arial"/>
          <w:color w:val="444444"/>
          <w:sz w:val="22"/>
          <w:szCs w:val="22"/>
        </w:rPr>
        <w:t xml:space="preserve">Indexing is performed file by file through a two-stage process designed to respect the context limits of locally-running models:</w:t>
      </w:r>
    </w:p>
    <w:p>
      <w:pPr>
        <w:spacing w:after="100" w:before="100"/>
      </w:pPr>
      <w:r>
        <w:t xml:space="preserve"/>
      </w:r>
    </w:p>
    <w:p>
      <w:pPr>
        <w:pStyle w:val="Heading3"/>
        <w:spacing w:after="80" w:before="220"/>
      </w:pPr>
      <w:r>
        <w:rPr>
          <w:rFonts w:ascii="Arial" w:cs="Arial" w:eastAsia="Arial" w:hAnsi="Arial"/>
          <w:b/>
          <w:bCs/>
          <w:color w:val="1F3864"/>
          <w:sz w:val="24"/>
          <w:szCs w:val="24"/>
        </w:rPr>
        <w:t xml:space="preserve">Stage 1 — Raw Documentation Pass</w:t>
      </w:r>
    </w:p>
    <w:p>
      <w:pPr>
        <w:spacing w:after="80" w:before="80"/>
        <w:jc w:val="both"/>
      </w:pPr>
      <w:r>
        <w:rPr>
          <w:rFonts w:ascii="Arial" w:cs="Arial" w:eastAsia="Arial" w:hAnsi="Arial"/>
          <w:color w:val="444444"/>
          <w:sz w:val="22"/>
          <w:szCs w:val="22"/>
        </w:rPr>
        <w:t xml:space="preserve">The AI agent reads one code region at a time (using language-native region markers such as C# #region blocks). For each method, it produces plain English documentation covering purpose, parameters, return values, and notable conditions. When the agent encounters undocumented magic numbers or domain-specific status codes, it pauses and asks the developer for clarification. Developer answers are stored permanently in the context file and are never requested again.</w:t>
      </w:r>
    </w:p>
    <w:p>
      <w:pPr>
        <w:spacing w:after="100" w:before="100"/>
      </w:pPr>
      <w:r>
        <w:t xml:space="preserve"/>
      </w:r>
    </w:p>
    <w:p>
      <w:pPr>
        <w:pStyle w:val="Heading3"/>
        <w:spacing w:after="80" w:before="220"/>
      </w:pPr>
      <w:r>
        <w:rPr>
          <w:rFonts w:ascii="Arial" w:cs="Arial" w:eastAsia="Arial" w:hAnsi="Arial"/>
          <w:b/>
          <w:bCs/>
          <w:color w:val="1F3864"/>
          <w:sz w:val="24"/>
          <w:szCs w:val="24"/>
        </w:rPr>
        <w:t xml:space="preserve">Stage 2 — Context Assembly Pass</w:t>
      </w:r>
    </w:p>
    <w:p>
      <w:pPr>
        <w:spacing w:after="80" w:before="80"/>
        <w:jc w:val="both"/>
      </w:pPr>
      <w:r>
        <w:rPr>
          <w:rFonts w:ascii="Arial" w:cs="Arial" w:eastAsia="Arial" w:hAnsi="Arial"/>
          <w:color w:val="444444"/>
          <w:sz w:val="22"/>
          <w:szCs w:val="22"/>
        </w:rPr>
        <w:t xml:space="preserve">The agent reads the plain English documentation produced in Stage 1 — not the raw code — and assembles the structured context JSON. At this stage it identifies local common entities, flags global common candidates for developer approval, detects conflicts between implementations, and requests developer decisions before finalizing. The developer maintains full approval authority at every checkpoint.</w:t>
      </w:r>
    </w:p>
    <w:p>
      <w:pPr>
        <w:spacing w:after="100" w:before="100"/>
      </w:pPr>
      <w:r>
        <w:t xml:space="preserve"/>
      </w:r>
    </w:p>
    <w:p>
      <w:pPr>
        <w:pStyle w:val="Heading2"/>
        <w:spacing w:after="100" w:before="320"/>
      </w:pPr>
      <w:r>
        <w:rPr>
          <w:rFonts w:ascii="Arial" w:cs="Arial" w:eastAsia="Arial" w:hAnsi="Arial"/>
          <w:b/>
          <w:bCs/>
          <w:color w:val="2E5FA3"/>
          <w:sz w:val="28"/>
          <w:szCs w:val="28"/>
        </w:rPr>
        <w:t xml:space="preserve">3.7 Incremental Intelligence Refresh</w:t>
      </w:r>
    </w:p>
    <w:p>
      <w:pPr>
        <w:spacing w:after="80" w:before="80"/>
        <w:jc w:val="both"/>
      </w:pPr>
      <w:r>
        <w:rPr>
          <w:rFonts w:ascii="Arial" w:cs="Arial" w:eastAsia="Arial" w:hAnsi="Arial"/>
          <w:color w:val="444444"/>
          <w:sz w:val="22"/>
          <w:szCs w:val="22"/>
        </w:rPr>
        <w:t xml:space="preserve">The indexing architecture is designed for incremental updates rather than full repository reprocessing:</w:t>
      </w:r>
    </w:p>
    <w:p>
      <w:pPr>
        <w:spacing w:after="10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File hashes and metadata are compared against existing indexed intelligence</w:t>
      </w:r>
    </w:p>
    <w:p>
      <w:pPr>
        <w:pStyle w:val="ListParagraph"/>
        <w:numPr>
          <w:ilvl w:val="0"/>
          <w:numId w:val="2"/>
        </w:numPr>
        <w:spacing w:after="60" w:before="60"/>
      </w:pPr>
      <w:r>
        <w:rPr>
          <w:rFonts w:ascii="Arial" w:cs="Arial" w:eastAsia="Arial" w:hAnsi="Arial"/>
          <w:color w:val="444444"/>
          <w:sz w:val="22"/>
          <w:szCs w:val="22"/>
        </w:rPr>
        <w:t xml:space="preserve">Only changed files or modified regions are detected and flagged for refresh</w:t>
      </w:r>
    </w:p>
    <w:p>
      <w:pPr>
        <w:pStyle w:val="ListParagraph"/>
        <w:numPr>
          <w:ilvl w:val="0"/>
          <w:numId w:val="2"/>
        </w:numPr>
        <w:spacing w:after="60" w:before="60"/>
      </w:pPr>
      <w:r>
        <w:rPr>
          <w:rFonts w:ascii="Arial" w:cs="Arial" w:eastAsia="Arial" w:hAnsi="Arial"/>
          <w:color w:val="444444"/>
          <w:sz w:val="22"/>
          <w:szCs w:val="22"/>
        </w:rPr>
        <w:t xml:space="preserve">Only impacted summaries, relationships, embeddings, and context structures are updated</w:t>
      </w:r>
    </w:p>
    <w:p>
      <w:pPr>
        <w:pStyle w:val="ListParagraph"/>
        <w:numPr>
          <w:ilvl w:val="0"/>
          <w:numId w:val="2"/>
        </w:numPr>
        <w:spacing w:after="60" w:before="60"/>
      </w:pPr>
      <w:r>
        <w:rPr>
          <w:rFonts w:ascii="Arial" w:cs="Arial" w:eastAsia="Arial" w:hAnsi="Arial"/>
          <w:color w:val="444444"/>
          <w:sz w:val="22"/>
          <w:szCs w:val="22"/>
        </w:rPr>
        <w:t xml:space="preserve">Unchanged regions are preserved exactly — no unnecessary reprocessing</w:t>
      </w:r>
    </w:p>
    <w:p>
      <w:pPr>
        <w:spacing w:after="100" w:before="100"/>
      </w:pPr>
      <w:r>
        <w:t xml:space="preserve"/>
      </w:r>
    </w:p>
    <w:p>
      <w:pPr>
        <w:spacing w:after="80" w:before="80"/>
        <w:jc w:val="both"/>
      </w:pPr>
      <w:r>
        <w:rPr>
          <w:rFonts w:ascii="Arial" w:cs="Arial" w:eastAsia="Arial" w:hAnsi="Arial"/>
          <w:color w:val="444444"/>
          <w:sz w:val="22"/>
          <w:szCs w:val="22"/>
        </w:rPr>
        <w:t xml:space="preserve">This approach ensures the system scales to continuously evolving enterprise repositories without expensive periodic rebuilds.</w:t>
      </w:r>
    </w:p>
    <w:p>
      <w:pPr>
        <w:spacing w:after="100" w:before="100"/>
      </w:pPr>
      <w:r>
        <w:t xml:space="preserve"/>
      </w:r>
    </w:p>
    <w:p>
      <w:r>
        <w:br w:type="page"/>
      </w:r>
    </w:p>
    <w:p>
      <w:pPr>
        <w:pStyle w:val="Heading1"/>
        <w:spacing w:after="120" w:before="440"/>
      </w:pPr>
      <w:r>
        <w:rPr>
          <w:rFonts w:ascii="Arial" w:cs="Arial" w:eastAsia="Arial" w:hAnsi="Arial"/>
          <w:b/>
          <w:bCs/>
          <w:color w:val="1F3864"/>
          <w:sz w:val="36"/>
          <w:szCs w:val="36"/>
        </w:rPr>
        <w:t xml:space="preserve">4. System Architecture</w:t>
      </w:r>
    </w:p>
    <w:p>
      <w:pPr>
        <w:pBdr>
          <w:bottom w:val="single" w:color="2E75B6" w:sz="6" w:space="1"/>
        </w:pBdr>
        <w:spacing w:after="180" w:before="0"/>
      </w:pPr>
    </w:p>
    <w:p>
      <w:pPr>
        <w:pStyle w:val="Heading2"/>
        <w:spacing w:after="100" w:before="320"/>
      </w:pPr>
      <w:r>
        <w:rPr>
          <w:rFonts w:ascii="Arial" w:cs="Arial" w:eastAsia="Arial" w:hAnsi="Arial"/>
          <w:b/>
          <w:bCs/>
          <w:color w:val="2E5FA3"/>
          <w:sz w:val="28"/>
          <w:szCs w:val="28"/>
        </w:rPr>
        <w:t xml:space="preserve">4.1 Hub-and-Spoke Multi-Agent Design</w:t>
      </w:r>
    </w:p>
    <w:p>
      <w:pPr>
        <w:spacing w:after="80" w:before="80"/>
        <w:jc w:val="both"/>
      </w:pPr>
      <w:r>
        <w:rPr>
          <w:rFonts w:ascii="Arial" w:cs="Arial" w:eastAsia="Arial" w:hAnsi="Arial"/>
          <w:color w:val="444444"/>
          <w:sz w:val="22"/>
          <w:szCs w:val="22"/>
        </w:rPr>
        <w:t xml:space="preserve">The platform follows a Hub-and-Spoke multi-agent architecture. A central orchestrator manages task delegation to specialized agents, each responsible for a specific aspect of the indexing and retrieval pipeline:</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Orchestrator (Python / Langroid)</w:t>
            </w:r>
          </w:p>
        </w:tc>
        <w:tc>
          <w:tcPr>
            <w:tcW w:type="dxa" w:w="6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Central hub — manages agent lifecycle, task delegation, approval checkpoints, and state</w:t>
            </w:r>
          </w:p>
        </w:tc>
      </w:tr>
      <w:tr>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Backend Indexing Agent</w:t>
            </w:r>
          </w:p>
        </w:tc>
        <w:tc>
          <w:tcPr>
            <w:tcW w:type="dxa" w:w="6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Performs Stage 1 and Stage 2 indexing on service and DAL files</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Conflict Detection Agent</w:t>
            </w:r>
          </w:p>
        </w:tc>
        <w:tc>
          <w:tcPr>
            <w:tcW w:type="dxa" w:w="6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Identifies implementation discrepancies across files and surfaces them for developer resolution</w:t>
            </w:r>
          </w:p>
        </w:tc>
      </w:tr>
      <w:tr>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Retrieval Agent</w:t>
            </w:r>
          </w:p>
        </w:tc>
        <w:tc>
          <w:tcPr>
            <w:tcW w:type="dxa" w:w="6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Answers developer queries using the hierarchical context index</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Update Indexing Agent (planned)</w:t>
            </w:r>
          </w:p>
        </w:tc>
        <w:tc>
          <w:tcPr>
            <w:tcW w:type="dxa" w:w="6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Detects changed files via hash comparison and re-indexes only affected regions</w:t>
            </w:r>
          </w:p>
        </w:tc>
      </w:tr>
      <w:tr>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Workflow Linking Agent (planned)</w:t>
            </w:r>
          </w:p>
        </w:tc>
        <w:tc>
          <w:tcPr>
            <w:tcW w:type="dxa" w:w="6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Connects individual file contexts into unified workflow units</w:t>
            </w:r>
          </w:p>
        </w:tc>
      </w:tr>
      <w:tr>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Impact Analysis Agent (planned)</w:t>
            </w:r>
          </w:p>
        </w:tc>
        <w:tc>
          <w:tcPr>
            <w:tcW w:type="dxa" w:w="6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Traces the cross-layer impact of a proposed change before implementation</w:t>
            </w:r>
          </w:p>
        </w:tc>
      </w:tr>
    </w:tbl>
    <w:p>
      <w:pPr>
        <w:spacing w:after="100" w:before="100"/>
      </w:pPr>
      <w:r>
        <w:t xml:space="preserve"/>
      </w:r>
    </w:p>
    <w:p>
      <w:pPr>
        <w:pStyle w:val="Heading2"/>
        <w:spacing w:after="100" w:before="320"/>
      </w:pPr>
      <w:r>
        <w:rPr>
          <w:rFonts w:ascii="Arial" w:cs="Arial" w:eastAsia="Arial" w:hAnsi="Arial"/>
          <w:b/>
          <w:bCs/>
          <w:color w:val="2E5FA3"/>
          <w:sz w:val="28"/>
          <w:szCs w:val="28"/>
        </w:rPr>
        <w:t xml:space="preserve">4.2 Retrieval Orchestration Pipeline</w:t>
      </w:r>
    </w:p>
    <w:p>
      <w:pPr>
        <w:spacing w:after="80" w:before="80"/>
        <w:jc w:val="both"/>
      </w:pPr>
      <w:r>
        <w:rPr>
          <w:rFonts w:ascii="Arial" w:cs="Arial" w:eastAsia="Arial" w:hAnsi="Arial"/>
          <w:color w:val="444444"/>
          <w:sz w:val="22"/>
          <w:szCs w:val="22"/>
        </w:rPr>
        <w:t xml:space="preserve">Every developer query passes through a structured orchestration pipeline before any raw code is accessed: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E8" w:sz="1"/>
              <w:left w:val="single" w:color="C5D6E8" w:sz="1"/>
              <w:bottom w:val="single" w:color="C5D6E8" w:sz="1"/>
              <w:right w:val="single" w:color="C5D6E8" w:sz="1"/>
            </w:tcBorders>
            <w:shd w:fill="D6E4F0"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Developer Question</w:t>
            </w:r>
          </w:p>
        </w:tc>
      </w:tr>
      <w:tr>
        <w:tc>
          <w:tcPr>
            <w:tcW w:type="dxa" w:w="936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bCs/>
                <w:color w:val="2E5FA3"/>
                <w:sz w:val="28"/>
                <w:szCs w:val="28"/>
              </w:rPr>
              <w:t xml:space="preserve">↓</w:t>
            </w:r>
          </w:p>
        </w:tc>
      </w:tr>
      <w:tr>
        <w:tc>
          <w:tcPr>
            <w:tcW w:type="dxa" w:w="9360"/>
            <w:tcBorders>
              <w:top w:val="single" w:color="C5D6E8" w:sz="1"/>
              <w:left w:val="single" w:color="C5D6E8" w:sz="1"/>
              <w:bottom w:val="single" w:color="C5D6E8" w:sz="1"/>
              <w:right w:val="single" w:color="C5D6E8" w:sz="1"/>
            </w:tcBorders>
            <w:shd w:fill="D6E4F0"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Workflow Detection</w:t>
            </w:r>
          </w:p>
        </w:tc>
      </w:tr>
      <w:tr>
        <w:tc>
          <w:tcPr>
            <w:tcW w:type="dxa" w:w="936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bCs/>
                <w:color w:val="2E5FA3"/>
                <w:sz w:val="28"/>
                <w:szCs w:val="28"/>
              </w:rPr>
              <w:t xml:space="preserve">↓</w:t>
            </w:r>
          </w:p>
        </w:tc>
      </w:tr>
      <w:tr>
        <w:tc>
          <w:tcPr>
            <w:tcW w:type="dxa" w:w="9360"/>
            <w:tcBorders>
              <w:top w:val="single" w:color="C5D6E8" w:sz="1"/>
              <w:left w:val="single" w:color="C5D6E8" w:sz="1"/>
              <w:bottom w:val="single" w:color="C5D6E8" w:sz="1"/>
              <w:right w:val="single" w:color="C5D6E8" w:sz="1"/>
            </w:tcBorders>
            <w:shd w:fill="D6E4F0"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Convention Mapping</w:t>
            </w:r>
          </w:p>
        </w:tc>
      </w:tr>
      <w:tr>
        <w:tc>
          <w:tcPr>
            <w:tcW w:type="dxa" w:w="936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bCs/>
                <w:color w:val="2E5FA3"/>
                <w:sz w:val="28"/>
                <w:szCs w:val="28"/>
              </w:rPr>
              <w:t xml:space="preserve">↓</w:t>
            </w:r>
          </w:p>
        </w:tc>
      </w:tr>
      <w:tr>
        <w:tc>
          <w:tcPr>
            <w:tcW w:type="dxa" w:w="9360"/>
            <w:tcBorders>
              <w:top w:val="single" w:color="C5D6E8" w:sz="1"/>
              <w:left w:val="single" w:color="C5D6E8" w:sz="1"/>
              <w:bottom w:val="single" w:color="C5D6E8" w:sz="1"/>
              <w:right w:val="single" w:color="C5D6E8" w:sz="1"/>
            </w:tcBorders>
            <w:shd w:fill="D6E4F0"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Context Registry Lookup</w:t>
            </w:r>
          </w:p>
        </w:tc>
      </w:tr>
      <w:tr>
        <w:tc>
          <w:tcPr>
            <w:tcW w:type="dxa" w:w="936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bCs/>
                <w:color w:val="2E5FA3"/>
                <w:sz w:val="28"/>
                <w:szCs w:val="28"/>
              </w:rPr>
              <w:t xml:space="preserve">↓</w:t>
            </w:r>
          </w:p>
        </w:tc>
      </w:tr>
      <w:tr>
        <w:tc>
          <w:tcPr>
            <w:tcW w:type="dxa" w:w="9360"/>
            <w:tcBorders>
              <w:top w:val="single" w:color="C5D6E8" w:sz="1"/>
              <w:left w:val="single" w:color="C5D6E8" w:sz="1"/>
              <w:bottom w:val="single" w:color="C5D6E8" w:sz="1"/>
              <w:right w:val="single" w:color="C5D6E8" w:sz="1"/>
            </w:tcBorders>
            <w:shd w:fill="D6E4F0"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Brief Context Retrieval</w:t>
            </w:r>
          </w:p>
        </w:tc>
      </w:tr>
      <w:tr>
        <w:tc>
          <w:tcPr>
            <w:tcW w:type="dxa" w:w="936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bCs/>
                <w:color w:val="2E5FA3"/>
                <w:sz w:val="28"/>
                <w:szCs w:val="28"/>
              </w:rPr>
              <w:t xml:space="preserve">↓</w:t>
            </w:r>
          </w:p>
        </w:tc>
      </w:tr>
      <w:tr>
        <w:tc>
          <w:tcPr>
            <w:tcW w:type="dxa" w:w="9360"/>
            <w:tcBorders>
              <w:top w:val="single" w:color="C5D6E8" w:sz="1"/>
              <w:left w:val="single" w:color="C5D6E8" w:sz="1"/>
              <w:bottom w:val="single" w:color="C5D6E8" w:sz="1"/>
              <w:right w:val="single" w:color="C5D6E8" w:sz="1"/>
            </w:tcBorders>
            <w:shd w:fill="D6E4F0"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Confidence Evaluation</w:t>
            </w:r>
          </w:p>
        </w:tc>
      </w:tr>
      <w:tr>
        <w:tc>
          <w:tcPr>
            <w:tcW w:type="dxa" w:w="936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bCs/>
                <w:color w:val="2E5FA3"/>
                <w:sz w:val="28"/>
                <w:szCs w:val="28"/>
              </w:rPr>
              <w:t xml:space="preserve">↓</w:t>
            </w:r>
          </w:p>
        </w:tc>
      </w:tr>
      <w:tr>
        <w:tc>
          <w:tcPr>
            <w:tcW w:type="dxa" w:w="9360"/>
            <w:tcBorders>
              <w:top w:val="single" w:color="C5D6E8" w:sz="1"/>
              <w:left w:val="single" w:color="C5D6E8" w:sz="1"/>
              <w:bottom w:val="single" w:color="C5D6E8" w:sz="1"/>
              <w:right w:val="single" w:color="C5D6E8" w:sz="1"/>
            </w:tcBorders>
            <w:shd w:fill="D6E4F0"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Detailed Context Expansion</w:t>
            </w:r>
          </w:p>
        </w:tc>
      </w:tr>
      <w:tr>
        <w:tc>
          <w:tcPr>
            <w:tcW w:type="dxa" w:w="936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bCs/>
                <w:color w:val="2E5FA3"/>
                <w:sz w:val="28"/>
                <w:szCs w:val="28"/>
              </w:rPr>
              <w:t xml:space="preserve">↓</w:t>
            </w:r>
          </w:p>
        </w:tc>
      </w:tr>
      <w:tr>
        <w:tc>
          <w:tcPr>
            <w:tcW w:type="dxa" w:w="9360"/>
            <w:tcBorders>
              <w:top w:val="single" w:color="C5D6E8" w:sz="1"/>
              <w:left w:val="single" w:color="C5D6E8" w:sz="1"/>
              <w:bottom w:val="single" w:color="C5D6E8" w:sz="1"/>
              <w:right w:val="single" w:color="C5D6E8" w:sz="1"/>
            </w:tcBorders>
            <w:shd w:fill="D6E4F0"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Raw Code Expansion</w:t>
            </w:r>
          </w:p>
        </w:tc>
      </w:tr>
      <w:tr>
        <w:tc>
          <w:tcPr>
            <w:tcW w:type="dxa" w:w="9360"/>
            <w:tcBorders>
              <w:top w:val="none" w:color="FFFFFF" w:sz="0"/>
              <w:left w:val="none" w:color="FFFFFF" w:sz="0"/>
              <w:bottom w:val="none" w:color="FFFFFF" w:sz="0"/>
              <w:right w:val="none" w:color="FFFFFF" w:sz="0"/>
            </w:tcBorders>
            <w:shd w:fill="FFFFFF" w:val="clear"/>
            <w:tcMar>
              <w:top w:type="dxa" w:w="20"/>
              <w:left w:type="dxa" w:w="200"/>
              <w:bottom w:type="dxa" w:w="20"/>
              <w:right w:type="dxa" w:w="200"/>
            </w:tcMar>
          </w:tcPr>
          <w:p>
            <w:pPr>
              <w:jc w:val="center"/>
            </w:pPr>
            <w:r>
              <w:rPr>
                <w:rFonts w:ascii="Arial" w:cs="Arial" w:eastAsia="Arial" w:hAnsi="Arial"/>
                <w:b/>
                <w:bCs/>
                <w:color w:val="2E5FA3"/>
                <w:sz w:val="28"/>
                <w:szCs w:val="28"/>
              </w:rPr>
              <w:t xml:space="preserve">↓</w:t>
            </w:r>
          </w:p>
        </w:tc>
      </w:tr>
      <w:tr>
        <w:tc>
          <w:tcPr>
            <w:tcW w:type="dxa" w:w="9360"/>
            <w:tcBorders>
              <w:top w:val="single" w:color="C5D6E8" w:sz="1"/>
              <w:left w:val="single" w:color="C5D6E8" w:sz="1"/>
              <w:bottom w:val="single" w:color="C5D6E8" w:sz="1"/>
              <w:right w:val="single" w:color="C5D6E8" w:sz="1"/>
            </w:tcBorders>
            <w:shd w:fill="D6E4F0" w:val="clear"/>
            <w:tcMar>
              <w:top w:type="dxa" w:w="100"/>
              <w:left w:type="dxa" w:w="200"/>
              <w:bottom w:type="dxa" w:w="100"/>
              <w:right w:type="dxa" w:w="200"/>
            </w:tcMar>
          </w:tcPr>
          <w:p>
            <w:pPr>
              <w:jc w:val="center"/>
            </w:pPr>
            <w:r>
              <w:rPr>
                <w:rFonts w:ascii="Arial" w:cs="Arial" w:eastAsia="Arial" w:hAnsi="Arial"/>
                <w:b/>
                <w:bCs/>
                <w:color w:val="1F3864"/>
                <w:sz w:val="22"/>
                <w:szCs w:val="22"/>
              </w:rPr>
              <w:t xml:space="preserve">LLM Reasoning &amp; Response</w:t>
            </w:r>
          </w:p>
        </w:tc>
      </w:tr>
    </w:tbl>
    <w:p>
      <w:pPr>
        <w:spacing w:after="100" w:before="100"/>
      </w:pPr>
      <w:r>
        <w:t xml:space="preserve"/>
      </w:r>
    </w:p>
    <w:p>
      <w:pPr>
        <w:spacing w:after="80" w:before="80"/>
        <w:jc w:val="both"/>
      </w:pPr>
      <w:r>
        <w:rPr>
          <w:rFonts w:ascii="Arial" w:cs="Arial" w:eastAsia="Arial" w:hAnsi="Arial"/>
          <w:color w:val="444444"/>
          <w:sz w:val="22"/>
          <w:szCs w:val="22"/>
        </w:rPr>
        <w:t xml:space="preserve">Raw source code is the final retrieval layer, accessed only when structured intelligence is insufficient. This pipeline drastically reduces token consumption while improving reasoning quality on large enterprise codebases.</w:t>
      </w:r>
    </w:p>
    <w:p>
      <w:pPr>
        <w:spacing w:after="100" w:before="100"/>
      </w:pPr>
      <w:r>
        <w:t xml:space="preserve"/>
      </w:r>
    </w:p>
    <w:p>
      <w:pPr>
        <w:pStyle w:val="Heading2"/>
        <w:spacing w:after="100" w:before="320"/>
      </w:pPr>
      <w:r>
        <w:rPr>
          <w:rFonts w:ascii="Arial" w:cs="Arial" w:eastAsia="Arial" w:hAnsi="Arial"/>
          <w:b/>
          <w:bCs/>
          <w:color w:val="2E5FA3"/>
          <w:sz w:val="28"/>
          <w:szCs w:val="28"/>
        </w:rPr>
        <w:t xml:space="preserve">4.3 Folder Structure</w:t>
      </w:r>
    </w:p>
    <w:p>
      <w:pPr>
        <w:spacing w:after="80" w:before="80"/>
        <w:jc w:val="both"/>
      </w:pPr>
      <w:r>
        <w:rPr>
          <w:rFonts w:ascii="Arial" w:cs="Arial" w:eastAsia="Arial" w:hAnsi="Arial"/>
          <w:color w:val="444444"/>
          <w:sz w:val="22"/>
          <w:szCs w:val="22"/>
        </w:rPr>
        <w:t xml:space="preserve">All indexed intelligence is stored locally under a dedicated folder excluded from version control:</w:t>
      </w:r>
    </w:p>
    <w:p>
      <w:pPr>
        <w:spacing w:after="10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.ai-memory/raw-docs/  —  plain English documentation from Stage 1, organized by file and region</w:t>
      </w:r>
    </w:p>
    <w:p>
      <w:pPr>
        <w:pStyle w:val="ListParagraph"/>
        <w:numPr>
          <w:ilvl w:val="0"/>
          <w:numId w:val="2"/>
        </w:numPr>
        <w:spacing w:after="60" w:before="60"/>
      </w:pPr>
      <w:r>
        <w:rPr>
          <w:rFonts w:ascii="Arial" w:cs="Arial" w:eastAsia="Arial" w:hAnsi="Arial"/>
          <w:color w:val="444444"/>
          <w:sz w:val="22"/>
          <w:szCs w:val="22"/>
        </w:rPr>
        <w:t xml:space="preserve">.ai-memory/context/  —  structured JSON context files, one per indexed file</w:t>
      </w:r>
    </w:p>
    <w:p>
      <w:pPr>
        <w:pStyle w:val="ListParagraph"/>
        <w:numPr>
          <w:ilvl w:val="0"/>
          <w:numId w:val="2"/>
        </w:numPr>
        <w:spacing w:after="60" w:before="60"/>
      </w:pPr>
      <w:r>
        <w:rPr>
          <w:rFonts w:ascii="Arial" w:cs="Arial" w:eastAsia="Arial" w:hAnsi="Arial"/>
          <w:color w:val="444444"/>
          <w:sz w:val="22"/>
          <w:szCs w:val="22"/>
        </w:rPr>
        <w:t xml:space="preserve">.ai-memory/global-common/  —  GlobalCommon.json, entities shared across services</w:t>
      </w:r>
    </w:p>
    <w:p>
      <w:pPr>
        <w:pStyle w:val="ListParagraph"/>
        <w:numPr>
          <w:ilvl w:val="0"/>
          <w:numId w:val="2"/>
        </w:numPr>
        <w:spacing w:after="60" w:before="60"/>
      </w:pPr>
      <w:r>
        <w:rPr>
          <w:rFonts w:ascii="Arial" w:cs="Arial" w:eastAsia="Arial" w:hAnsi="Arial"/>
          <w:color w:val="444444"/>
          <w:sz w:val="22"/>
          <w:szCs w:val="22"/>
        </w:rPr>
        <w:t xml:space="preserve">.ai-memory/sessions/  —  active session state for ongoing indexing tasks</w:t>
      </w:r>
    </w:p>
    <w:p>
      <w:pPr>
        <w:pStyle w:val="ListParagraph"/>
        <w:numPr>
          <w:ilvl w:val="0"/>
          <w:numId w:val="2"/>
        </w:numPr>
        <w:spacing w:after="60" w:before="60"/>
      </w:pPr>
      <w:r>
        <w:rPr>
          <w:rFonts w:ascii="Arial" w:cs="Arial" w:eastAsia="Arial" w:hAnsi="Arial"/>
          <w:color w:val="444444"/>
          <w:sz w:val="22"/>
          <w:szCs w:val="22"/>
        </w:rPr>
        <w:t xml:space="preserve">.ai-memory/repo-map/  —  future: workflow linking and cross-file relationship graph</w:t>
      </w:r>
    </w:p>
    <w:p>
      <w:pPr>
        <w:spacing w:after="100" w:before="100"/>
      </w:pPr>
      <w:r>
        <w:t xml:space="preserve"/>
      </w:r>
    </w:p>
    <w:p>
      <w:r>
        <w:br w:type="page"/>
      </w:r>
    </w:p>
    <w:p>
      <w:pPr>
        <w:pStyle w:val="Heading1"/>
        <w:spacing w:after="120" w:before="440"/>
      </w:pPr>
      <w:r>
        <w:rPr>
          <w:rFonts w:ascii="Arial" w:cs="Arial" w:eastAsia="Arial" w:hAnsi="Arial"/>
          <w:b/>
          <w:bCs/>
          <w:color w:val="1F3864"/>
          <w:sz w:val="36"/>
          <w:szCs w:val="36"/>
        </w:rPr>
        <w:t xml:space="preserve">5. Technology Stack</w:t>
      </w:r>
    </w:p>
    <w:p>
      <w:pPr>
        <w:pBdr>
          <w:bottom w:val="single" w:color="2E75B6" w:sz="6" w:space="1"/>
        </w:pBdr>
        <w:spacing w:after="180" w:before="0"/>
      </w:pPr>
    </w:p>
    <w:p>
      <w:pPr>
        <w:pStyle w:val="Heading2"/>
        <w:spacing w:after="100" w:before="320"/>
      </w:pPr>
      <w:r>
        <w:rPr>
          <w:rFonts w:ascii="Arial" w:cs="Arial" w:eastAsia="Arial" w:hAnsi="Arial"/>
          <w:b/>
          <w:bCs/>
          <w:color w:val="2E5FA3"/>
          <w:sz w:val="28"/>
          <w:szCs w:val="28"/>
        </w:rPr>
        <w:t xml:space="preserve">5.1 Local Development Stack (Validated)</w:t>
      </w:r>
    </w:p>
    <w:p>
      <w:pPr>
        <w:spacing w:after="80" w:before="80"/>
        <w:jc w:val="both"/>
      </w:pPr>
      <w:r>
        <w:rPr>
          <w:rFonts w:ascii="Arial" w:cs="Arial" w:eastAsia="Arial" w:hAnsi="Arial"/>
          <w:color w:val="444444"/>
          <w:sz w:val="22"/>
          <w:szCs w:val="22"/>
        </w:rPr>
        <w:t xml:space="preserve">The following stack has been validated on consumer-grade hardware (RTX 4050, 6GB VRAM, 24GB RAM). This demonstrates that the architecture is accessible without enterprise infrastructure — a single developer can begin building the intelligence layer immediately.</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7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6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Model Runtime</w:t>
            </w:r>
          </w:p>
        </w:tc>
        <w:tc>
          <w:tcPr>
            <w:tcW w:type="dxa" w:w="27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Ollama 0.24.0</w:t>
            </w:r>
          </w:p>
        </w:tc>
        <w:tc>
          <w:tcPr>
            <w:tcW w:type="dxa" w:w="44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Local model serving with GPU acceleration</w:t>
            </w:r>
          </w:p>
        </w:tc>
      </w:tr>
      <w:tr>
        <w:tc>
          <w:tcPr>
            <w:tcW w:type="dxa" w:w="2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Primary Model</w:t>
            </w:r>
          </w:p>
        </w:tc>
        <w:tc>
          <w:tcPr>
            <w:tcW w:type="dxa" w:w="27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Qwen3:8b (Q4_K_M, 5.2GB VRAM)</w:t>
            </w:r>
          </w:p>
        </w:tc>
        <w:tc>
          <w:tcPr>
            <w:tcW w:type="dxa" w:w="44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Main semantic reasoning and indexing</w:t>
            </w:r>
          </w:p>
        </w:tc>
      </w:tr>
      <w:tr>
        <w:tc>
          <w:tcPr>
            <w:tcW w:type="dxa" w:w="2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Helper Model</w:t>
            </w:r>
          </w:p>
        </w:tc>
        <w:tc>
          <w:tcPr>
            <w:tcW w:type="dxa" w:w="27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Gemma4:4b (native tool calling)</w:t>
            </w:r>
          </w:p>
        </w:tc>
        <w:tc>
          <w:tcPr>
            <w:tcW w:type="dxa" w:w="44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Lightweight routing and fast retrieval decisions</w:t>
            </w:r>
          </w:p>
        </w:tc>
      </w:tr>
      <w:tr>
        <w:tc>
          <w:tcPr>
            <w:tcW w:type="dxa" w:w="2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Autocomplete Model</w:t>
            </w:r>
          </w:p>
        </w:tc>
        <w:tc>
          <w:tcPr>
            <w:tcW w:type="dxa" w:w="27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Qwen2.5-Coder:1.5b</w:t>
            </w:r>
          </w:p>
        </w:tc>
        <w:tc>
          <w:tcPr>
            <w:tcW w:type="dxa" w:w="44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Real-time code completion in editor</w:t>
            </w:r>
          </w:p>
        </w:tc>
      </w:tr>
      <w:tr>
        <w:tc>
          <w:tcPr>
            <w:tcW w:type="dxa" w:w="2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Embedding Model</w:t>
            </w:r>
          </w:p>
        </w:tc>
        <w:tc>
          <w:tcPr>
            <w:tcW w:type="dxa" w:w="27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nomic-embed-text</w:t>
            </w:r>
          </w:p>
        </w:tc>
        <w:tc>
          <w:tcPr>
            <w:tcW w:type="dxa" w:w="44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Semantic vector embeddings for retrieval layer</w:t>
            </w:r>
          </w:p>
        </w:tc>
      </w:tr>
      <w:tr>
        <w:tc>
          <w:tcPr>
            <w:tcW w:type="dxa" w:w="2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Orchestration</w:t>
            </w:r>
          </w:p>
        </w:tc>
        <w:tc>
          <w:tcPr>
            <w:tcW w:type="dxa" w:w="27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Langroid (Python)</w:t>
            </w:r>
          </w:p>
        </w:tc>
        <w:tc>
          <w:tcPr>
            <w:tcW w:type="dxa" w:w="44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Multi-agent hub-and-spoke task management</w:t>
            </w:r>
          </w:p>
        </w:tc>
      </w:tr>
      <w:tr>
        <w:tc>
          <w:tcPr>
            <w:tcW w:type="dxa" w:w="2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Editor Integration</w:t>
            </w:r>
          </w:p>
        </w:tc>
        <w:tc>
          <w:tcPr>
            <w:tcW w:type="dxa" w:w="27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Roo Code (VS Code)</w:t>
            </w:r>
          </w:p>
        </w:tc>
        <w:tc>
          <w:tcPr>
            <w:tcW w:type="dxa" w:w="44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Developer UI with Ask / Architect / Code mode separation</w:t>
            </w:r>
          </w:p>
        </w:tc>
      </w:tr>
      <w:tr>
        <w:tc>
          <w:tcPr>
            <w:tcW w:type="dxa" w:w="2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Index Storage</w:t>
            </w:r>
          </w:p>
        </w:tc>
        <w:tc>
          <w:tcPr>
            <w:tcW w:type="dxa" w:w="27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Local filesystem (JSON)</w:t>
            </w:r>
          </w:p>
        </w:tc>
        <w:tc>
          <w:tcPr>
            <w:tcW w:type="dxa" w:w="44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Structured context files in .ai-memory/</w:t>
            </w:r>
          </w:p>
        </w:tc>
      </w:tr>
      <w:tr>
        <w:tc>
          <w:tcPr>
            <w:tcW w:type="dxa" w:w="2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Vector Storage</w:t>
            </w:r>
          </w:p>
        </w:tc>
        <w:tc>
          <w:tcPr>
            <w:tcW w:type="dxa" w:w="27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Qdrant (planned)</w:t>
            </w:r>
          </w:p>
        </w:tc>
        <w:tc>
          <w:tcPr>
            <w:tcW w:type="dxa" w:w="44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Semantic search on top of context files</w:t>
            </w:r>
          </w:p>
        </w:tc>
      </w:tr>
    </w:tbl>
    <w:p>
      <w:pPr>
        <w:spacing w:after="100" w:before="100"/>
      </w:pPr>
      <w:r>
        <w:t xml:space="preserve"/>
      </w:r>
    </w:p>
    <w:p>
      <w:pPr>
        <w:pStyle w:val="Heading2"/>
        <w:spacing w:after="100" w:before="320"/>
      </w:pPr>
      <w:r>
        <w:rPr>
          <w:rFonts w:ascii="Arial" w:cs="Arial" w:eastAsia="Arial" w:hAnsi="Arial"/>
          <w:b/>
          <w:bCs/>
          <w:color w:val="2E5FA3"/>
          <w:sz w:val="28"/>
          <w:szCs w:val="28"/>
        </w:rPr>
        <w:t xml:space="preserve">5.2 Production Server Stack (Reference)</w:t>
      </w:r>
    </w:p>
    <w:p>
      <w:pPr>
        <w:spacing w:after="80" w:before="80"/>
        <w:jc w:val="both"/>
      </w:pPr>
      <w:r>
        <w:rPr>
          <w:rFonts w:ascii="Arial" w:cs="Arial" w:eastAsia="Arial" w:hAnsi="Arial"/>
          <w:color w:val="444444"/>
          <w:sz w:val="22"/>
          <w:szCs w:val="22"/>
        </w:rPr>
        <w:t xml:space="preserve">For team-wide deployment serving multiple developers simultaneously, a dedicated inference server is recommended. The local stack validates the architecture; the server stack delivers the throughput required for production workloads. The orchestration layer and index architecture remain identical — only the hardware and model size change.</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9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446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GPU Server</w:t>
            </w:r>
          </w:p>
        </w:tc>
        <w:tc>
          <w:tcPr>
            <w:tcW w:type="dxa" w:w="29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8x NVIDIA H200 (or H100/A100 equivalent)</w:t>
            </w:r>
          </w:p>
        </w:tc>
        <w:tc>
          <w:tcPr>
            <w:tcW w:type="dxa" w:w="44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Enables 70B+ parameter models at full GPU inference speed</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Primary Model</w:t>
            </w:r>
          </w:p>
        </w:tc>
        <w:tc>
          <w:tcPr>
            <w:tcW w:type="dxa" w:w="29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Qwen3:72b or Devstral:24b (full precision)</w:t>
            </w:r>
          </w:p>
        </w:tc>
        <w:tc>
          <w:tcPr>
            <w:tcW w:type="dxa" w:w="44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Full reasoning capability for complex impact analysis</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Embedding Model</w:t>
            </w:r>
          </w:p>
        </w:tc>
        <w:tc>
          <w:tcPr>
            <w:tcW w:type="dxa" w:w="29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nomic-embed-text (self-hosted)</w:t>
            </w:r>
          </w:p>
        </w:tc>
        <w:tc>
          <w:tcPr>
            <w:tcW w:type="dxa" w:w="44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High-quality embeddings across the full index</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Orchestration</w:t>
            </w:r>
          </w:p>
        </w:tc>
        <w:tc>
          <w:tcPr>
            <w:tcW w:type="dxa" w:w="29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Langroid (Python) — same as local</w:t>
            </w:r>
          </w:p>
        </w:tc>
        <w:tc>
          <w:tcPr>
            <w:tcW w:type="dxa" w:w="44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Architecture is model-agnostic; orchestrator does not change</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Vector Database</w:t>
            </w:r>
          </w:p>
        </w:tc>
        <w:tc>
          <w:tcPr>
            <w:tcW w:type="dxa" w:w="29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Qdrant (self-hosted)</w:t>
            </w:r>
          </w:p>
        </w:tc>
        <w:tc>
          <w:tcPr>
            <w:tcW w:type="dxa" w:w="44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Fast semantic search across thousands of indexed context files</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Model Serving</w:t>
            </w:r>
          </w:p>
        </w:tc>
        <w:tc>
          <w:tcPr>
            <w:tcW w:type="dxa" w:w="29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Ollama or vLLM</w:t>
            </w:r>
          </w:p>
        </w:tc>
        <w:tc>
          <w:tcPr>
            <w:tcW w:type="dxa" w:w="44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vLLM preferred at scale for throughput optimization</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Storage</w:t>
            </w:r>
          </w:p>
        </w:tc>
        <w:tc>
          <w:tcPr>
            <w:tcW w:type="dxa" w:w="29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NVMe SSD RAID</w:t>
            </w:r>
          </w:p>
        </w:tc>
        <w:tc>
          <w:tcPr>
            <w:tcW w:type="dxa" w:w="44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Fast read/write for large context file operations</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Access Layer</w:t>
            </w:r>
          </w:p>
        </w:tc>
        <w:tc>
          <w:tcPr>
            <w:tcW w:type="dxa" w:w="29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Internal REST API</w:t>
            </w:r>
          </w:p>
        </w:tc>
        <w:tc>
          <w:tcPr>
            <w:tcW w:type="dxa" w:w="44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Team members connect to shared server — no local GPU required</w:t>
            </w:r>
          </w:p>
        </w:tc>
      </w:tr>
    </w:tbl>
    <w:p>
      <w:pPr>
        <w:spacing w:after="100" w:before="100"/>
      </w:pPr>
      <w:r>
        <w:t xml:space="preserve"/>
      </w:r>
    </w:p>
    <w:p>
      <w:pPr>
        <w:pStyle w:val="Heading2"/>
        <w:spacing w:after="100" w:before="320"/>
      </w:pPr>
      <w:r>
        <w:rPr>
          <w:rFonts w:ascii="Arial" w:cs="Arial" w:eastAsia="Arial" w:hAnsi="Arial"/>
          <w:b/>
          <w:bCs/>
          <w:color w:val="2E5FA3"/>
          <w:sz w:val="28"/>
          <w:szCs w:val="28"/>
        </w:rPr>
        <w:t xml:space="preserve">5.3 Privacy and Security Properties</w:t>
      </w:r>
    </w:p>
    <w:p>
      <w:pPr>
        <w:spacing w:after="80" w:before="80"/>
        <w:jc w:val="both"/>
      </w:pPr>
      <w:r>
        <w:rPr>
          <w:rFonts w:ascii="Arial" w:cs="Arial" w:eastAsia="Arial" w:hAnsi="Arial"/>
          <w:color w:val="444444"/>
          <w:sz w:val="22"/>
          <w:szCs w:val="22"/>
        </w:rPr>
        <w:t xml:space="preserve">The architecture is fully local and private by design. The following properties hold unconditionally:</w:t>
      </w:r>
    </w:p>
    <w:p>
      <w:pPr>
        <w:spacing w:after="10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No source code is transmitted to any external server or cloud service</w:t>
      </w:r>
    </w:p>
    <w:p>
      <w:pPr>
        <w:pStyle w:val="ListParagraph"/>
        <w:numPr>
          <w:ilvl w:val="0"/>
          <w:numId w:val="2"/>
        </w:numPr>
        <w:spacing w:after="60" w:before="60"/>
      </w:pPr>
      <w:r>
        <w:rPr>
          <w:rFonts w:ascii="Arial" w:cs="Arial" w:eastAsia="Arial" w:hAnsi="Arial"/>
          <w:color w:val="444444"/>
          <w:sz w:val="22"/>
          <w:szCs w:val="22"/>
        </w:rPr>
        <w:t xml:space="preserve">All AI model inference runs on-premises on locally-owned hardware</w:t>
      </w:r>
    </w:p>
    <w:p>
      <w:pPr>
        <w:pStyle w:val="ListParagraph"/>
        <w:numPr>
          <w:ilvl w:val="0"/>
          <w:numId w:val="2"/>
        </w:numPr>
        <w:spacing w:after="60" w:before="60"/>
      </w:pPr>
      <w:r>
        <w:rPr>
          <w:rFonts w:ascii="Arial" w:cs="Arial" w:eastAsia="Arial" w:hAnsi="Arial"/>
          <w:color w:val="444444"/>
          <w:sz w:val="22"/>
          <w:szCs w:val="22"/>
        </w:rPr>
        <w:t xml:space="preserve">All context files and indexed knowledge remain on the local machine or internal server</w:t>
      </w:r>
    </w:p>
    <w:p>
      <w:pPr>
        <w:pStyle w:val="ListParagraph"/>
        <w:numPr>
          <w:ilvl w:val="0"/>
          <w:numId w:val="2"/>
        </w:numPr>
        <w:spacing w:after="60" w:before="60"/>
      </w:pPr>
      <w:r>
        <w:rPr>
          <w:rFonts w:ascii="Arial" w:cs="Arial" w:eastAsia="Arial" w:hAnsi="Arial"/>
          <w:color w:val="444444"/>
          <w:sz w:val="22"/>
          <w:szCs w:val="22"/>
        </w:rPr>
        <w:t xml:space="preserve">The system operates with no internet dependency during normal operation</w:t>
      </w:r>
    </w:p>
    <w:p>
      <w:pPr>
        <w:pStyle w:val="ListParagraph"/>
        <w:numPr>
          <w:ilvl w:val="0"/>
          <w:numId w:val="2"/>
        </w:numPr>
        <w:spacing w:after="60" w:before="60"/>
      </w:pPr>
      <w:r>
        <w:rPr>
          <w:rFonts w:ascii="Arial" w:cs="Arial" w:eastAsia="Arial" w:hAnsi="Arial"/>
          <w:color w:val="444444"/>
          <w:sz w:val="22"/>
          <w:szCs w:val="22"/>
        </w:rPr>
        <w:t xml:space="preserve">Server access is controlled via standard network access policies</w:t>
      </w:r>
    </w:p>
    <w:p>
      <w:pPr>
        <w:spacing w:after="100" w:before="100"/>
      </w:pPr>
      <w:r>
        <w:t xml:space="preserve"/>
      </w:r>
    </w:p>
    <w:p>
      <w:r>
        <w:br w:type="page"/>
      </w:r>
    </w:p>
    <w:p>
      <w:pPr>
        <w:pStyle w:val="Heading1"/>
        <w:spacing w:after="120" w:before="440"/>
      </w:pPr>
      <w:r>
        <w:rPr>
          <w:rFonts w:ascii="Arial" w:cs="Arial" w:eastAsia="Arial" w:hAnsi="Arial"/>
          <w:b/>
          <w:bCs/>
          <w:color w:val="1F3864"/>
          <w:sz w:val="36"/>
          <w:szCs w:val="36"/>
        </w:rPr>
        <w:t xml:space="preserve">6. Implementation Roadmap</w:t>
      </w:r>
    </w:p>
    <w:p>
      <w:pPr>
        <w:pBdr>
          <w:bottom w:val="single" w:color="2E75B6" w:sz="6" w:space="1"/>
        </w:pBdr>
        <w:spacing w:after="180" w:before="0"/>
      </w:pPr>
    </w:p>
    <w:p>
      <w:pPr>
        <w:pStyle w:val="Heading2"/>
        <w:spacing w:after="100" w:before="320"/>
      </w:pPr>
      <w:r>
        <w:rPr>
          <w:rFonts w:ascii="Arial" w:cs="Arial" w:eastAsia="Arial" w:hAnsi="Arial"/>
          <w:b/>
          <w:bCs/>
          <w:color w:val="2E5FA3"/>
          <w:sz w:val="28"/>
          <w:szCs w:val="28"/>
        </w:rPr>
        <w:t xml:space="preserve">6.1 Phase Overview</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rPr>
          <w:tblHeader/>
        </w:trPr>
        <w:tc>
          <w:tcPr>
            <w:tcW w:type="dxa" w:w="12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16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1</w:t>
            </w:r>
          </w:p>
        </w:tc>
        <w:tc>
          <w:tcPr>
            <w:tcW w:type="dxa" w:w="24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Foundation Validation</w:t>
            </w:r>
          </w:p>
        </w:tc>
        <w:tc>
          <w:tcPr>
            <w:tcW w:type="dxa" w:w="16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to 3 weeks</w:t>
            </w:r>
          </w:p>
        </w:tc>
        <w:tc>
          <w:tcPr>
            <w:tcW w:type="dxa" w:w="4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Local stack working, 5 to 10 service files indexed and validated</w:t>
            </w:r>
          </w:p>
        </w:tc>
      </w:tr>
      <w:tr>
        <w:tc>
          <w:tcPr>
            <w:tcW w:type="dxa" w:w="1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Phase 2</w:t>
            </w:r>
          </w:p>
        </w:tc>
        <w:tc>
          <w:tcPr>
            <w:tcW w:type="dxa" w:w="24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Backend Indexing Pipeline</w:t>
            </w:r>
          </w:p>
        </w:tc>
        <w:tc>
          <w:tcPr>
            <w:tcW w:type="dxa" w:w="16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4 to 6 weeks</w:t>
            </w:r>
          </w:p>
        </w:tc>
        <w:tc>
          <w:tcPr>
            <w:tcW w:type="dxa" w:w="4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Full backend indexing workflow — Stage 1 and Stage 2 prompts finalized</w:t>
            </w:r>
          </w:p>
        </w:tc>
      </w:tr>
      <w:tr>
        <w:tc>
          <w:tcPr>
            <w:tcW w:type="dxa" w:w="1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3</w:t>
            </w:r>
          </w:p>
        </w:tc>
        <w:tc>
          <w:tcPr>
            <w:tcW w:type="dxa" w:w="24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 Context System</w:t>
            </w:r>
          </w:p>
        </w:tc>
        <w:tc>
          <w:tcPr>
            <w:tcW w:type="dxa" w:w="16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 to 4 weeks</w:t>
            </w:r>
          </w:p>
        </w:tc>
        <w:tc>
          <w:tcPr>
            <w:tcW w:type="dxa" w:w="4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 context files with relationship and dependency mapping</w:t>
            </w:r>
          </w:p>
        </w:tc>
      </w:tr>
      <w:tr>
        <w:tc>
          <w:tcPr>
            <w:tcW w:type="dxa" w:w="1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Phase 4</w:t>
            </w:r>
          </w:p>
        </w:tc>
        <w:tc>
          <w:tcPr>
            <w:tcW w:type="dxa" w:w="24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Workflow Linking</w:t>
            </w:r>
          </w:p>
        </w:tc>
        <w:tc>
          <w:tcPr>
            <w:tcW w:type="dxa" w:w="16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3 to 4 weeks</w:t>
            </w:r>
          </w:p>
        </w:tc>
        <w:tc>
          <w:tcPr>
            <w:tcW w:type="dxa" w:w="4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Cross-file workflow units connecting all architectural layers</w:t>
            </w:r>
          </w:p>
        </w:tc>
      </w:tr>
      <w:tr>
        <w:tc>
          <w:tcPr>
            <w:tcW w:type="dxa" w:w="1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5</w:t>
            </w:r>
          </w:p>
        </w:tc>
        <w:tc>
          <w:tcPr>
            <w:tcW w:type="dxa" w:w="24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Server Deployment</w:t>
            </w:r>
          </w:p>
        </w:tc>
        <w:tc>
          <w:tcPr>
            <w:tcW w:type="dxa" w:w="16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 to 6 weeks</w:t>
            </w:r>
          </w:p>
        </w:tc>
        <w:tc>
          <w:tcPr>
            <w:tcW w:type="dxa" w:w="4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Production server with larger models serving a full development team</w:t>
            </w:r>
          </w:p>
        </w:tc>
      </w:tr>
      <w:tr>
        <w:tc>
          <w:tcPr>
            <w:tcW w:type="dxa" w:w="1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Phase 6</w:t>
            </w:r>
          </w:p>
        </w:tc>
        <w:tc>
          <w:tcPr>
            <w:tcW w:type="dxa" w:w="24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Advanced Agents</w:t>
            </w:r>
          </w:p>
        </w:tc>
        <w:tc>
          <w:tcPr>
            <w:tcW w:type="dxa" w:w="16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Ongoing</w:t>
            </w:r>
          </w:p>
        </w:tc>
        <w:tc>
          <w:tcPr>
            <w:tcW w:type="dxa" w:w="4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Impact analysis, update indexing, semantic retrieval, DB schema intelligence</w:t>
            </w:r>
          </w:p>
        </w:tc>
      </w:tr>
    </w:tbl>
    <w:p>
      <w:pPr>
        <w:spacing w:after="100" w:before="100"/>
      </w:pPr>
      <w:r>
        <w:t xml:space="preserve"/>
      </w:r>
    </w:p>
    <w:p>
      <w:pPr>
        <w:pStyle w:val="Heading2"/>
        <w:spacing w:after="100" w:before="320"/>
      </w:pPr>
      <w:r>
        <w:rPr>
          <w:rFonts w:ascii="Arial" w:cs="Arial" w:eastAsia="Arial" w:hAnsi="Arial"/>
          <w:b/>
          <w:bCs/>
          <w:color w:val="2E5FA3"/>
          <w:sz w:val="28"/>
          <w:szCs w:val="28"/>
        </w:rPr>
        <w:t xml:space="preserve">6.2 Phase 1 — Foundation Validation</w:t>
      </w:r>
    </w:p>
    <w:p>
      <w:pPr>
        <w:spacing w:after="80" w:before="80"/>
        <w:jc w:val="both"/>
      </w:pPr>
      <w:r>
        <w:rPr>
          <w:rFonts w:ascii="Arial" w:cs="Arial" w:eastAsia="Arial" w:hAnsi="Arial"/>
          <w:color w:val="444444"/>
          <w:sz w:val="22"/>
          <w:szCs w:val="22"/>
        </w:rPr>
        <w:t xml:space="preserve">Phase 1 can begin immediately on existing hardware at zero additional cost. The goal is to validate that the hierarchical indexing architecture produces measurably better answers than raw code retrieval. Success criteria:</w:t>
      </w:r>
    </w:p>
    <w:p>
      <w:pPr>
        <w:spacing w:after="10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Stage 1 prompt produces consistent plain English documentation for one complete service file</w:t>
      </w:r>
    </w:p>
    <w:p>
      <w:pPr>
        <w:pStyle w:val="ListParagraph"/>
        <w:numPr>
          <w:ilvl w:val="0"/>
          <w:numId w:val="2"/>
        </w:numPr>
        <w:spacing w:after="60" w:before="60"/>
      </w:pPr>
      <w:r>
        <w:rPr>
          <w:rFonts w:ascii="Arial" w:cs="Arial" w:eastAsia="Arial" w:hAnsi="Arial"/>
          <w:color w:val="444444"/>
          <w:sz w:val="22"/>
          <w:szCs w:val="22"/>
        </w:rPr>
        <w:t xml:space="preserve">Stage 2 prompt produces a valid structured context JSON from Stage 1 output</w:t>
      </w:r>
    </w:p>
    <w:p>
      <w:pPr>
        <w:pStyle w:val="ListParagraph"/>
        <w:numPr>
          <w:ilvl w:val="0"/>
          <w:numId w:val="2"/>
        </w:numPr>
        <w:spacing w:after="60" w:before="60"/>
      </w:pPr>
      <w:r>
        <w:rPr>
          <w:rFonts w:ascii="Arial" w:cs="Arial" w:eastAsia="Arial" w:hAnsi="Arial"/>
          <w:color w:val="444444"/>
          <w:sz w:val="22"/>
          <w:szCs w:val="22"/>
        </w:rPr>
        <w:t xml:space="preserve">Agent answers questions about an indexed service without reading raw code</w:t>
      </w:r>
    </w:p>
    <w:p>
      <w:pPr>
        <w:pStyle w:val="ListParagraph"/>
        <w:numPr>
          <w:ilvl w:val="0"/>
          <w:numId w:val="2"/>
        </w:numPr>
        <w:spacing w:after="60" w:before="60"/>
      </w:pPr>
      <w:r>
        <w:rPr>
          <w:rFonts w:ascii="Arial" w:cs="Arial" w:eastAsia="Arial" w:hAnsi="Arial"/>
          <w:color w:val="444444"/>
          <w:sz w:val="22"/>
          <w:szCs w:val="22"/>
        </w:rPr>
        <w:t xml:space="preserve">Agent locates a specific method by name and returns its exact line number from the context file</w:t>
      </w:r>
    </w:p>
    <w:p>
      <w:pPr>
        <w:pStyle w:val="ListParagraph"/>
        <w:numPr>
          <w:ilvl w:val="0"/>
          <w:numId w:val="2"/>
        </w:numPr>
        <w:spacing w:after="60" w:before="60"/>
      </w:pPr>
      <w:r>
        <w:rPr>
          <w:rFonts w:ascii="Arial" w:cs="Arial" w:eastAsia="Arial" w:hAnsi="Arial"/>
          <w:color w:val="444444"/>
          <w:sz w:val="22"/>
          <w:szCs w:val="22"/>
        </w:rPr>
        <w:t xml:space="preserve">Time-to-answer for a typical developer question is measurably faster than baseline</w:t>
      </w:r>
    </w:p>
    <w:p>
      <w:pPr>
        <w:spacing w:after="100" w:before="100"/>
      </w:pPr>
      <w:r>
        <w:t xml:space="preserve"/>
      </w:r>
    </w:p>
    <w:p>
      <w:pPr>
        <w:pStyle w:val="Heading2"/>
        <w:spacing w:after="100" w:before="320"/>
      </w:pPr>
      <w:r>
        <w:rPr>
          <w:rFonts w:ascii="Arial" w:cs="Arial" w:eastAsia="Arial" w:hAnsi="Arial"/>
          <w:b/>
          <w:bCs/>
          <w:color w:val="2E5FA3"/>
          <w:sz w:val="28"/>
          <w:szCs w:val="28"/>
        </w:rPr>
        <w:t xml:space="preserve">6.3 Phase 5 — Server Infrastructure Reference</w:t>
      </w:r>
    </w:p>
    <w:p>
      <w:pPr>
        <w:spacing w:after="80" w:before="80"/>
        <w:jc w:val="both"/>
      </w:pPr>
      <w:r>
        <w:rPr>
          <w:rFonts w:ascii="Arial" w:cs="Arial" w:eastAsia="Arial" w:hAnsi="Arial"/>
          <w:color w:val="444444"/>
          <w:sz w:val="22"/>
          <w:szCs w:val="22"/>
        </w:rPr>
        <w:t xml:space="preserve">Phase 5 transitions the system from a local developer tool to a shared team intelligence platform. Reference server configuration:</w:t>
      </w:r>
    </w:p>
    <w:p>
      <w:pPr>
        <w:spacing w:after="10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GPU: 8x NVIDIA H200 (or H100/A100 equivalent) — enables 70B+ parameter models</w:t>
      </w:r>
    </w:p>
    <w:p>
      <w:pPr>
        <w:pStyle w:val="ListParagraph"/>
        <w:numPr>
          <w:ilvl w:val="0"/>
          <w:numId w:val="2"/>
        </w:numPr>
        <w:spacing w:after="60" w:before="60"/>
      </w:pPr>
      <w:r>
        <w:rPr>
          <w:rFonts w:ascii="Arial" w:cs="Arial" w:eastAsia="Arial" w:hAnsi="Arial"/>
          <w:color w:val="444444"/>
          <w:sz w:val="22"/>
          <w:szCs w:val="22"/>
        </w:rPr>
        <w:t xml:space="preserve">RAM: 512GB minimum — supports large context windows and concurrent sessions</w:t>
      </w:r>
    </w:p>
    <w:p>
      <w:pPr>
        <w:pStyle w:val="ListParagraph"/>
        <w:numPr>
          <w:ilvl w:val="0"/>
          <w:numId w:val="2"/>
        </w:numPr>
        <w:spacing w:after="60" w:before="60"/>
      </w:pPr>
      <w:r>
        <w:rPr>
          <w:rFonts w:ascii="Arial" w:cs="Arial" w:eastAsia="Arial" w:hAnsi="Arial"/>
          <w:color w:val="444444"/>
          <w:sz w:val="22"/>
          <w:szCs w:val="22"/>
        </w:rPr>
        <w:t xml:space="preserve">Storage: 4TB NVMe SSD — codebase index, model weights, and vector database</w:t>
      </w:r>
    </w:p>
    <w:p>
      <w:pPr>
        <w:pStyle w:val="ListParagraph"/>
        <w:numPr>
          <w:ilvl w:val="0"/>
          <w:numId w:val="2"/>
        </w:numPr>
        <w:spacing w:after="60" w:before="60"/>
      </w:pPr>
      <w:r>
        <w:rPr>
          <w:rFonts w:ascii="Arial" w:cs="Arial" w:eastAsia="Arial" w:hAnsi="Arial"/>
          <w:color w:val="444444"/>
          <w:sz w:val="22"/>
          <w:szCs w:val="22"/>
        </w:rPr>
        <w:t xml:space="preserve">Network: 10GbE internal — team members connect via internal API, no local GPU required</w:t>
      </w:r>
    </w:p>
    <w:p>
      <w:pPr>
        <w:pStyle w:val="ListParagraph"/>
        <w:numPr>
          <w:ilvl w:val="0"/>
          <w:numId w:val="2"/>
        </w:numPr>
        <w:spacing w:after="60" w:before="60"/>
      </w:pPr>
      <w:r>
        <w:rPr>
          <w:rFonts w:ascii="Arial" w:cs="Arial" w:eastAsia="Arial" w:hAnsi="Arial"/>
          <w:color w:val="444444"/>
          <w:sz w:val="22"/>
          <w:szCs w:val="22"/>
        </w:rPr>
        <w:t xml:space="preserve">OS: Linux (Ubuntu 22.04 LTS) with CUDA and Ollama or vLLM for model serving</w:t>
      </w:r>
    </w:p>
    <w:p>
      <w:pPr>
        <w:spacing w:after="100" w:before="100"/>
      </w:pPr>
      <w:r>
        <w:t xml:space="preserve"/>
      </w:r>
    </w:p>
    <w:p>
      <w:r>
        <w:br w:type="page"/>
      </w:r>
    </w:p>
    <w:p>
      <w:pPr>
        <w:pStyle w:val="Heading1"/>
        <w:spacing w:after="120" w:before="440"/>
      </w:pPr>
      <w:r>
        <w:rPr>
          <w:rFonts w:ascii="Arial" w:cs="Arial" w:eastAsia="Arial" w:hAnsi="Arial"/>
          <w:b/>
          <w:bCs/>
          <w:color w:val="1F3864"/>
          <w:sz w:val="36"/>
          <w:szCs w:val="36"/>
        </w:rPr>
        <w:t xml:space="preserve">7. Expected Outcomes</w:t>
      </w:r>
    </w:p>
    <w:p>
      <w:pPr>
        <w:pBdr>
          <w:bottom w:val="single" w:color="2E75B6" w:sz="6" w:space="1"/>
        </w:pBdr>
        <w:spacing w:after="180" w:before="0"/>
      </w:pPr>
    </w:p>
    <w:p>
      <w:pPr>
        <w:pStyle w:val="Heading2"/>
        <w:spacing w:after="100" w:before="320"/>
      </w:pPr>
      <w:r>
        <w:rPr>
          <w:rFonts w:ascii="Arial" w:cs="Arial" w:eastAsia="Arial" w:hAnsi="Arial"/>
          <w:b/>
          <w:bCs/>
          <w:color w:val="2E5FA3"/>
          <w:sz w:val="28"/>
          <w:szCs w:val="28"/>
        </w:rPr>
        <w:t xml:space="preserve">7.1 Developer Productivity</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80"/>
        <w:gridCol w:w="3880"/>
      </w:tblGrid>
      <w:tr>
        <w:trPr>
          <w:tblHeader/>
        </w:trPr>
        <w:tc>
          <w:tcPr>
            <w:tcW w:type="dxa" w:w="26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88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Without Platform</w:t>
            </w:r>
          </w:p>
        </w:tc>
        <w:tc>
          <w:tcPr>
            <w:tcW w:type="dxa" w:w="388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 Platform</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Locate a specific method in a 40k-line service</w:t>
            </w:r>
          </w:p>
        </w:tc>
        <w:tc>
          <w:tcPr>
            <w:tcW w:type="dxa" w:w="288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Manual search — 15 to 30 minutes</w:t>
            </w:r>
          </w:p>
        </w:tc>
        <w:tc>
          <w:tcPr>
            <w:tcW w:type="dxa" w:w="388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Direct line number from context file — under 30 seconds</w:t>
            </w:r>
          </w:p>
        </w:tc>
      </w:tr>
      <w:tr>
        <w:tc>
          <w:tcPr>
            <w:tcW w:type="dxa" w:w="26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Understand an unfamiliar module</w:t>
            </w:r>
          </w:p>
        </w:tc>
        <w:tc>
          <w:tcPr>
            <w:tcW w:type="dxa" w:w="288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Read source files and ask colleagues — 2 to 4 hours</w:t>
            </w:r>
          </w:p>
        </w:tc>
        <w:tc>
          <w:tcPr>
            <w:tcW w:type="dxa" w:w="388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Read brief and detailed context — 10 to 20 minutes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Impact analysis before a change</w:t>
            </w:r>
          </w:p>
        </w:tc>
        <w:tc>
          <w:tcPr>
            <w:tcW w:type="dxa" w:w="288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Manual cross-referencing — 2 to 4 hours</w:t>
            </w:r>
          </w:p>
        </w:tc>
        <w:tc>
          <w:tcPr>
            <w:tcW w:type="dxa" w:w="388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Automated cross-layer tracing — 20 to 40 minutes</w:t>
            </w:r>
          </w:p>
        </w:tc>
      </w:tr>
      <w:tr>
        <w:tc>
          <w:tcPr>
            <w:tcW w:type="dxa" w:w="26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Copy-paste style feature implementation</w:t>
            </w:r>
          </w:p>
        </w:tc>
        <w:tc>
          <w:tcPr>
            <w:tcW w:type="dxa" w:w="288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Locate example and understand pattern — 1 to 2 hours</w:t>
            </w:r>
          </w:p>
        </w:tc>
        <w:tc>
          <w:tcPr>
            <w:tcW w:type="dxa" w:w="388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Agent retrieves pattern reference directly — 20 minutes</w:t>
            </w:r>
          </w:p>
        </w:tc>
      </w:tr>
      <w:tr>
        <w:tc>
          <w:tcPr>
            <w:tcW w:type="dxa" w:w="26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Onboard to an unfamiliar module</w:t>
            </w:r>
          </w:p>
        </w:tc>
        <w:tc>
          <w:tcPr>
            <w:tcW w:type="dxa" w:w="288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Pair programming and code reading — days</w:t>
            </w:r>
          </w:p>
        </w:tc>
        <w:tc>
          <w:tcPr>
            <w:tcW w:type="dxa" w:w="388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Structured context files provide immediate module overview</w:t>
            </w:r>
          </w:p>
        </w:tc>
      </w:tr>
      <w:tr>
        <w:tc>
          <w:tcPr>
            <w:tcW w:type="dxa" w:w="26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Trace a production bug across layers</w:t>
            </w:r>
          </w:p>
        </w:tc>
        <w:tc>
          <w:tcPr>
            <w:tcW w:type="dxa" w:w="288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Manual stack tracing — hours</w:t>
            </w:r>
          </w:p>
        </w:tc>
        <w:tc>
          <w:tcPr>
            <w:tcW w:type="dxa" w:w="388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Retrieval agent traces the service-DAL-DB path in minutes</w:t>
            </w:r>
          </w:p>
        </w:tc>
      </w:tr>
    </w:tbl>
    <w:p>
      <w:pPr>
        <w:spacing w:after="100" w:before="100"/>
      </w:pPr>
      <w:r>
        <w:t xml:space="preserve"/>
      </w:r>
    </w:p>
    <w:p>
      <w:pPr>
        <w:pStyle w:val="Heading2"/>
        <w:spacing w:after="100" w:before="320"/>
      </w:pPr>
      <w:r>
        <w:rPr>
          <w:rFonts w:ascii="Arial" w:cs="Arial" w:eastAsia="Arial" w:hAnsi="Arial"/>
          <w:b/>
          <w:bCs/>
          <w:color w:val="2E5FA3"/>
          <w:sz w:val="28"/>
          <w:szCs w:val="28"/>
        </w:rPr>
        <w:t xml:space="preserve">7.2 Institutional Knowledge Preservation</w:t>
      </w:r>
    </w:p>
    <w:p>
      <w:pPr>
        <w:spacing w:after="80" w:before="80"/>
        <w:jc w:val="both"/>
      </w:pPr>
      <w:r>
        <w:rPr>
          <w:rFonts w:ascii="Arial" w:cs="Arial" w:eastAsia="Arial" w:hAnsi="Arial"/>
          <w:color w:val="444444"/>
          <w:sz w:val="22"/>
          <w:szCs w:val="22"/>
        </w:rPr>
        <w:t xml:space="preserve">One of the most significant long-term outcomes is the permanent capture of institutional knowledge. In most organizations, when a developer explains a magic number, a status code, or an undocumented business rule, that knowledge exists only in conversation or memory. With this platform:</w:t>
      </w:r>
    </w:p>
    <w:p>
      <w:pPr>
        <w:spacing w:after="10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Every business logic clarification provided during indexing is stored permanently in the context file</w:t>
      </w:r>
    </w:p>
    <w:p>
      <w:pPr>
        <w:pStyle w:val="ListParagraph"/>
        <w:numPr>
          <w:ilvl w:val="0"/>
          <w:numId w:val="2"/>
        </w:numPr>
        <w:spacing w:after="60" w:before="60"/>
      </w:pPr>
      <w:r>
        <w:rPr>
          <w:rFonts w:ascii="Arial" w:cs="Arial" w:eastAsia="Arial" w:hAnsi="Arial"/>
          <w:color w:val="444444"/>
          <w:sz w:val="22"/>
          <w:szCs w:val="22"/>
        </w:rPr>
        <w:t xml:space="preserve">The context file becomes the authoritative source of truth for that module</w:t>
      </w:r>
    </w:p>
    <w:p>
      <w:pPr>
        <w:pStyle w:val="ListParagraph"/>
        <w:numPr>
          <w:ilvl w:val="0"/>
          <w:numId w:val="2"/>
        </w:numPr>
        <w:spacing w:after="60" w:before="60"/>
      </w:pPr>
      <w:r>
        <w:rPr>
          <w:rFonts w:ascii="Arial" w:cs="Arial" w:eastAsia="Arial" w:hAnsi="Arial"/>
          <w:color w:val="444444"/>
          <w:sz w:val="22"/>
          <w:szCs w:val="22"/>
        </w:rPr>
        <w:t xml:space="preserve">Developer turnover does not result in knowledge loss — intelligence persists in the index</w:t>
      </w:r>
    </w:p>
    <w:p>
      <w:pPr>
        <w:pStyle w:val="ListParagraph"/>
        <w:numPr>
          <w:ilvl w:val="0"/>
          <w:numId w:val="2"/>
        </w:numPr>
        <w:spacing w:after="60" w:before="60"/>
      </w:pPr>
      <w:r>
        <w:rPr>
          <w:rFonts w:ascii="Arial" w:cs="Arial" w:eastAsia="Arial" w:hAnsi="Arial"/>
          <w:color w:val="444444"/>
          <w:sz w:val="22"/>
          <w:szCs w:val="22"/>
        </w:rPr>
        <w:t xml:space="preserve">The index grows more valuable over time as more questions are answered and more modules are documented</w:t>
      </w:r>
    </w:p>
    <w:p>
      <w:pPr>
        <w:spacing w:after="100" w:before="100"/>
      </w:pPr>
      <w:r>
        <w:t xml:space="preserve"/>
      </w:r>
    </w:p>
    <w:p>
      <w:pPr>
        <w:pStyle w:val="Heading2"/>
        <w:spacing w:after="100" w:before="320"/>
      </w:pPr>
      <w:r>
        <w:rPr>
          <w:rFonts w:ascii="Arial" w:cs="Arial" w:eastAsia="Arial" w:hAnsi="Arial"/>
          <w:b/>
          <w:bCs/>
          <w:color w:val="2E5FA3"/>
          <w:sz w:val="28"/>
          <w:szCs w:val="28"/>
        </w:rPr>
        <w:t xml:space="preserve">7.3 Engineering Digital Twin — Long-Term Vision</w:t>
      </w:r>
    </w:p>
    <w:p>
      <w:pPr>
        <w:spacing w:after="80" w:before="80"/>
        <w:jc w:val="both"/>
      </w:pPr>
      <w:r>
        <w:rPr>
          <w:rFonts w:ascii="Arial" w:cs="Arial" w:eastAsia="Arial" w:hAnsi="Arial"/>
          <w:color w:val="444444"/>
          <w:sz w:val="22"/>
          <w:szCs w:val="22"/>
        </w:rPr>
        <w:t xml:space="preserve">The long-term vision is an Engineering Digital Twin: a structured cognitive representation of the software system that understands workflows, dependencies, business rules, architectural conventions, and operational behavior. The platform evolves from a developer tool into reusable engineering intelligence infrastructure — one that accumulates organizational knowledge continuously and provides a permanent, queryable institutional memory layer.</w:t>
      </w:r>
    </w:p>
    <w:p>
      <w:pPr>
        <w:spacing w:after="100" w:before="100"/>
      </w:pPr>
      <w:r>
        <w:t xml:space="preserve"/>
      </w:r>
    </w:p>
    <w:p>
      <w:pPr>
        <w:pStyle w:val="Heading2"/>
        <w:spacing w:after="100" w:before="320"/>
      </w:pPr>
      <w:r>
        <w:rPr>
          <w:rFonts w:ascii="Arial" w:cs="Arial" w:eastAsia="Arial" w:hAnsi="Arial"/>
          <w:b/>
          <w:bCs/>
          <w:color w:val="2E5FA3"/>
          <w:sz w:val="28"/>
          <w:szCs w:val="28"/>
        </w:rPr>
        <w:t xml:space="preserve">7.4 Risk Reduction</w:t>
      </w:r>
    </w:p>
    <w:p>
      <w:pPr>
        <w:spacing w:after="10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Impact analysis before changes reduces unintended side effects in shared services</w:t>
      </w:r>
    </w:p>
    <w:p>
      <w:pPr>
        <w:pStyle w:val="ListParagraph"/>
        <w:numPr>
          <w:ilvl w:val="0"/>
          <w:numId w:val="2"/>
        </w:numPr>
        <w:spacing w:after="60" w:before="60"/>
      </w:pPr>
      <w:r>
        <w:rPr>
          <w:rFonts w:ascii="Arial" w:cs="Arial" w:eastAsia="Arial" w:hAnsi="Arial"/>
          <w:color w:val="444444"/>
          <w:sz w:val="22"/>
          <w:szCs w:val="22"/>
        </w:rPr>
        <w:t xml:space="preserve">Conflict detection surfaces inconsistent implementations before they cause bugs</w:t>
      </w:r>
    </w:p>
    <w:p>
      <w:pPr>
        <w:pStyle w:val="ListParagraph"/>
        <w:numPr>
          <w:ilvl w:val="0"/>
          <w:numId w:val="2"/>
        </w:numPr>
        <w:spacing w:after="60" w:before="60"/>
      </w:pPr>
      <w:r>
        <w:rPr>
          <w:rFonts w:ascii="Arial" w:cs="Arial" w:eastAsia="Arial" w:hAnsi="Arial"/>
          <w:color w:val="444444"/>
          <w:sz w:val="22"/>
          <w:szCs w:val="22"/>
        </w:rPr>
        <w:t xml:space="preserve">Fully local operation eliminates intellectual property exposure risk</w:t>
      </w:r>
    </w:p>
    <w:p>
      <w:pPr>
        <w:pStyle w:val="ListParagraph"/>
        <w:numPr>
          <w:ilvl w:val="0"/>
          <w:numId w:val="2"/>
        </w:numPr>
        <w:spacing w:after="60" w:before="60"/>
      </w:pPr>
      <w:r>
        <w:rPr>
          <w:rFonts w:ascii="Arial" w:cs="Arial" w:eastAsia="Arial" w:hAnsi="Arial"/>
          <w:color w:val="444444"/>
          <w:sz w:val="22"/>
          <w:szCs w:val="22"/>
        </w:rPr>
        <w:t xml:space="preserve">Deterministic retrieval from structured context reduces hallucination compared to naive RAG</w:t>
      </w:r>
    </w:p>
    <w:p>
      <w:pPr>
        <w:pStyle w:val="ListParagraph"/>
        <w:numPr>
          <w:ilvl w:val="0"/>
          <w:numId w:val="2"/>
        </w:numPr>
        <w:spacing w:after="60" w:before="60"/>
      </w:pPr>
      <w:r>
        <w:rPr>
          <w:rFonts w:ascii="Arial" w:cs="Arial" w:eastAsia="Arial" w:hAnsi="Arial"/>
          <w:color w:val="444444"/>
          <w:sz w:val="22"/>
          <w:szCs w:val="22"/>
        </w:rPr>
        <w:t xml:space="preserve">Workflow-centric indexing ensures cross-layer dependencies are understood before changes are made</w:t>
      </w:r>
    </w:p>
    <w:p>
      <w:pPr>
        <w:spacing w:after="100" w:before="100"/>
      </w:pPr>
      <w:r>
        <w:t xml:space="preserve"/>
      </w:r>
    </w:p>
    <w:p>
      <w:r>
        <w:br w:type="page"/>
      </w:r>
    </w:p>
    <w:p>
      <w:pPr>
        <w:pStyle w:val="Heading1"/>
        <w:spacing w:after="120" w:before="440"/>
      </w:pPr>
      <w:r>
        <w:rPr>
          <w:rFonts w:ascii="Arial" w:cs="Arial" w:eastAsia="Arial" w:hAnsi="Arial"/>
          <w:b/>
          <w:bCs/>
          <w:color w:val="1F3864"/>
          <w:sz w:val="36"/>
          <w:szCs w:val="36"/>
        </w:rPr>
        <w:t xml:space="preserve">8. Known Limitations and Mitigations</w:t>
      </w:r>
    </w:p>
    <w:p>
      <w:pPr>
        <w:pBdr>
          <w:bottom w:val="single" w:color="2E75B6" w:sz="6" w:space="1"/>
        </w:pBdr>
        <w:spacing w:after="180" w:before="0"/>
      </w:pP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14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Indexing effort is significant for large codebases</w:t>
            </w:r>
          </w:p>
        </w:tc>
        <w:tc>
          <w:tcPr>
            <w:tcW w:type="dxa" w:w="14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5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Strategic indexing — start with highest-traffic modules. 80% of daily benefit from 20% of files.</w:t>
            </w:r>
          </w:p>
        </w:tc>
      </w:tr>
      <w:tr>
        <w:tc>
          <w:tcPr>
            <w:tcW w:type="dxa" w:w="28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Context file schema changes may require re-indexing</w:t>
            </w:r>
          </w:p>
        </w:tc>
        <w:tc>
          <w:tcPr>
            <w:tcW w:type="dxa" w:w="14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Low after Phase 1</w:t>
            </w:r>
          </w:p>
        </w:tc>
        <w:tc>
          <w:tcPr>
            <w:tcW w:type="dxa" w:w="5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Lock schema after Phase 1 validation before full indexing begins.</w:t>
            </w:r>
          </w:p>
        </w:tc>
      </w:tr>
      <w:tr>
        <w:tc>
          <w:tcPr>
            <w:tcW w:type="dxa" w:w="28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Small local models have reasoning limits</w:t>
            </w:r>
          </w:p>
        </w:tc>
        <w:tc>
          <w:tcPr>
            <w:tcW w:type="dxa" w:w="14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Low with server hardware</w:t>
            </w:r>
          </w:p>
        </w:tc>
        <w:tc>
          <w:tcPr>
            <w:tcW w:type="dxa" w:w="5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1 validates model quality. Server deployment uses 70B+ models.</w:t>
            </w:r>
          </w:p>
        </w:tc>
      </w:tr>
      <w:tr>
        <w:tc>
          <w:tcPr>
            <w:tcW w:type="dxa" w:w="28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Index drifts as codebase evolves</w:t>
            </w:r>
          </w:p>
        </w:tc>
        <w:tc>
          <w:tcPr>
            <w:tcW w:type="dxa" w:w="14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5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Incremental update indexing using region-level hash comparison. Only changed regions are re-indexed.</w:t>
            </w:r>
          </w:p>
        </w:tc>
      </w:tr>
      <w:tr>
        <w:tc>
          <w:tcPr>
            <w:tcW w:type="dxa" w:w="28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Single-developer bottleneck during initial indexing</w:t>
            </w:r>
          </w:p>
        </w:tc>
        <w:tc>
          <w:tcPr>
            <w:tcW w:type="dxa" w:w="14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5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Indexing workflow is fully documented and repeatable by any team member on any module.</w:t>
            </w:r>
          </w:p>
        </w:tc>
      </w:tr>
    </w:tbl>
    <w:p>
      <w:pPr>
        <w:spacing w:after="100" w:before="100"/>
      </w:pPr>
      <w:r>
        <w:t xml:space="preserve"/>
      </w:r>
    </w:p>
    <w:p>
      <w:r>
        <w:br w:type="page"/>
      </w:r>
    </w:p>
    <w:p>
      <w:pPr>
        <w:pStyle w:val="Heading1"/>
        <w:spacing w:after="120" w:before="440"/>
      </w:pPr>
      <w:r>
        <w:rPr>
          <w:rFonts w:ascii="Arial" w:cs="Arial" w:eastAsia="Arial" w:hAnsi="Arial"/>
          <w:b/>
          <w:bCs/>
          <w:color w:val="1F3864"/>
          <w:sz w:val="36"/>
          <w:szCs w:val="36"/>
        </w:rPr>
        <w:t xml:space="preserve">9. Hardware Reference</w:t>
      </w:r>
    </w:p>
    <w:p>
      <w:pPr>
        <w:pBdr>
          <w:bottom w:val="single" w:color="2E75B6" w:sz="6" w:space="1"/>
        </w:pBdr>
        <w:spacing w:after="180" w:before="0"/>
      </w:pPr>
    </w:p>
    <w:p>
      <w:pPr>
        <w:pStyle w:val="Heading2"/>
        <w:spacing w:after="100" w:before="320"/>
      </w:pPr>
      <w:r>
        <w:rPr>
          <w:rFonts w:ascii="Arial" w:cs="Arial" w:eastAsia="Arial" w:hAnsi="Arial"/>
          <w:b/>
          <w:bCs/>
          <w:color w:val="2E5FA3"/>
          <w:sz w:val="28"/>
          <w:szCs w:val="28"/>
        </w:rPr>
        <w:t xml:space="preserve">9.1 Minimum — Local Development</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Spec</w:t>
            </w:r>
          </w:p>
        </w:tc>
        <w:tc>
          <w:tcPr>
            <w:tcW w:type="dxa" w:w="416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GPU</w:t>
            </w:r>
          </w:p>
        </w:tc>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8GB VRAM (e.g. RTX 3080, RTX 4070)</w:t>
            </w:r>
          </w:p>
        </w:tc>
        <w:tc>
          <w:tcPr>
            <w:tcW w:type="dxa" w:w="4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6GB VRAM works for 8B models at Q4 quantization</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RAM</w:t>
            </w:r>
          </w:p>
        </w:tc>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16GB system RAM</w:t>
            </w:r>
          </w:p>
        </w:tc>
        <w:tc>
          <w:tcPr>
            <w:tcW w:type="dxa" w:w="4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24GB+ recommended for comfortable operation</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Storage</w:t>
            </w:r>
          </w:p>
        </w:tc>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50GB free NVMe SSD</w:t>
            </w:r>
          </w:p>
        </w:tc>
        <w:tc>
          <w:tcPr>
            <w:tcW w:type="dxa" w:w="4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Model weights + index storage</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OS</w:t>
            </w:r>
          </w:p>
        </w:tc>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Windows 10/11 or Linux</w:t>
            </w:r>
          </w:p>
        </w:tc>
        <w:tc>
          <w:tcPr>
            <w:tcW w:type="dxa" w:w="4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Both supported by Ollama</w:t>
            </w:r>
          </w:p>
        </w:tc>
      </w:tr>
    </w:tbl>
    <w:p>
      <w:pPr>
        <w:spacing w:after="100" w:before="100"/>
      </w:pPr>
      <w:r>
        <w:t xml:space="preserve"/>
      </w:r>
    </w:p>
    <w:p>
      <w:pPr>
        <w:pStyle w:val="Heading2"/>
        <w:spacing w:after="100" w:before="320"/>
      </w:pPr>
      <w:r>
        <w:rPr>
          <w:rFonts w:ascii="Arial" w:cs="Arial" w:eastAsia="Arial" w:hAnsi="Arial"/>
          <w:b/>
          <w:bCs/>
          <w:color w:val="2E5FA3"/>
          <w:sz w:val="28"/>
          <w:szCs w:val="28"/>
        </w:rPr>
        <w:t xml:space="preserve">9.2 Recommended — Team Server</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4160"/>
            <w:tcBorders>
              <w:top w:val="single" w:color="C5D6E8" w:sz="1"/>
              <w:left w:val="single" w:color="C5D6E8" w:sz="1"/>
              <w:bottom w:val="single" w:color="C5D6E8" w:sz="1"/>
              <w:right w:val="single" w:color="C5D6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GPU</w:t>
            </w:r>
          </w:p>
        </w:tc>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8x NVIDIA H200 (or H100/A100 equivalent)</w:t>
            </w:r>
          </w:p>
        </w:tc>
        <w:tc>
          <w:tcPr>
            <w:tcW w:type="dxa" w:w="4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70B+ model inference at full precision</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System RAM</w:t>
            </w:r>
          </w:p>
        </w:tc>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512GB DDR5 ECC</w:t>
            </w:r>
          </w:p>
        </w:tc>
        <w:tc>
          <w:tcPr>
            <w:tcW w:type="dxa" w:w="4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Large context windows, concurrent developer sessions</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Storage</w:t>
            </w:r>
          </w:p>
        </w:tc>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4TB NVMe SSD (RAID 1)</w:t>
            </w:r>
          </w:p>
        </w:tc>
        <w:tc>
          <w:tcPr>
            <w:tcW w:type="dxa" w:w="4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Model weights, full codebase index, vector database</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Network</w:t>
            </w:r>
          </w:p>
        </w:tc>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10GbE NIC</w:t>
            </w:r>
          </w:p>
        </w:tc>
        <w:tc>
          <w:tcPr>
            <w:tcW w:type="dxa" w:w="4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Developer access via internal REST API</w:t>
            </w:r>
          </w:p>
        </w:tc>
      </w:tr>
      <w:tr>
        <w:tc>
          <w:tcPr>
            <w:tcW w:type="dxa" w:w="20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Software</w:t>
            </w:r>
          </w:p>
        </w:tc>
        <w:tc>
          <w:tcPr>
            <w:tcW w:type="dxa" w:w="320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Ubuntu 22.04 LTS, CUDA, Ollama or vLLM, Qdrant</w:t>
            </w:r>
          </w:p>
        </w:tc>
        <w:tc>
          <w:tcPr>
            <w:tcW w:type="dxa" w:w="4160"/>
            <w:tcBorders>
              <w:top w:val="single" w:color="C5D6E8" w:sz="1"/>
              <w:left w:val="single" w:color="C5D6E8" w:sz="1"/>
              <w:bottom w:val="single" w:color="C5D6E8" w:sz="1"/>
              <w:right w:val="single" w:color="C5D6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open source — no licensing cost</w:t>
            </w:r>
          </w:p>
        </w:tc>
      </w:tr>
      <w:tr>
        <w:tc>
          <w:tcPr>
            <w:tcW w:type="dxa" w:w="20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AI Models</w:t>
            </w:r>
          </w:p>
        </w:tc>
        <w:tc>
          <w:tcPr>
            <w:tcW w:type="dxa" w:w="320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Qwen3, Gemma4, nomic-embed-text</w:t>
            </w:r>
          </w:p>
        </w:tc>
        <w:tc>
          <w:tcPr>
            <w:tcW w:type="dxa" w:w="4160"/>
            <w:tcBorders>
              <w:top w:val="single" w:color="C5D6E8" w:sz="1"/>
              <w:left w:val="single" w:color="C5D6E8" w:sz="1"/>
              <w:bottom w:val="single" w:color="C5D6E8" w:sz="1"/>
              <w:right w:val="single" w:color="C5D6E8" w:sz="1"/>
            </w:tcBorders>
            <w:shd w:fill="F2F6FA" w:val="clear"/>
            <w:tcMar>
              <w:top w:type="dxa" w:w="80"/>
              <w:left w:type="dxa" w:w="120"/>
              <w:bottom w:type="dxa" w:w="80"/>
              <w:right w:type="dxa" w:w="120"/>
            </w:tcMar>
          </w:tcPr>
          <w:p>
            <w:r>
              <w:rPr>
                <w:rFonts w:ascii="Arial" w:cs="Arial" w:eastAsia="Arial" w:hAnsi="Arial"/>
                <w:color w:val="444444"/>
                <w:sz w:val="20"/>
                <w:szCs w:val="20"/>
              </w:rPr>
              <w:t xml:space="preserve">All open weight — no per-query API cost</w:t>
            </w:r>
          </w:p>
        </w:tc>
      </w:tr>
    </w:tbl>
    <w:p>
      <w:pPr>
        <w:spacing w:after="100" w:before="100"/>
      </w:pPr>
      <w:r>
        <w:t xml:space="preserve"/>
      </w:r>
    </w:p>
    <w:p>
      <w:pPr>
        <w:spacing w:after="80" w:before="80"/>
        <w:jc w:val="both"/>
      </w:pPr>
      <w:r>
        <w:rPr>
          <w:rFonts w:ascii="Arial" w:cs="Arial" w:eastAsia="Arial" w:hAnsi="Arial"/>
          <w:color w:val="444444"/>
          <w:sz w:val="22"/>
          <w:szCs w:val="22"/>
        </w:rPr>
        <w:t xml:space="preserve">After initial hardware investment, operational cost is electricity only. There are no per-query API fees, no cloud subscription costs, and no model licensing costs. All models used are open-weight. All software components are open source.</w:t>
      </w:r>
    </w:p>
    <w:p>
      <w:pPr>
        <w:spacing w:after="100" w:before="100"/>
      </w:pPr>
      <w:r>
        <w:t xml:space="preserve"/>
      </w:r>
    </w:p>
    <w:p>
      <w:r>
        <w:br w:type="page"/>
      </w:r>
    </w:p>
    <w:p>
      <w:pPr>
        <w:pStyle w:val="Heading1"/>
        <w:spacing w:after="120" w:before="440"/>
      </w:pPr>
      <w:r>
        <w:rPr>
          <w:rFonts w:ascii="Arial" w:cs="Arial" w:eastAsia="Arial" w:hAnsi="Arial"/>
          <w:b/>
          <w:bCs/>
          <w:color w:val="1F3864"/>
          <w:sz w:val="36"/>
          <w:szCs w:val="36"/>
        </w:rPr>
        <w:t xml:space="preserve">10. Conclusion</w:t>
      </w:r>
    </w:p>
    <w:p>
      <w:pPr>
        <w:pBdr>
          <w:bottom w:val="single" w:color="2E75B6" w:sz="6" w:space="1"/>
        </w:pBdr>
        <w:spacing w:after="180" w:before="0"/>
      </w:pPr>
    </w:p>
    <w:p>
      <w:pPr>
        <w:spacing w:after="80" w:before="80"/>
        <w:jc w:val="both"/>
      </w:pPr>
      <w:r>
        <w:rPr>
          <w:rFonts w:ascii="Arial" w:cs="Arial" w:eastAsia="Arial" w:hAnsi="Arial"/>
          <w:color w:val="444444"/>
          <w:sz w:val="22"/>
          <w:szCs w:val="22"/>
        </w:rPr>
        <w:t xml:space="preserve">The Enterprise AI Engineering Intelligence Platform represents a fundamentally different approach to AI-assisted development for large enterprise codebases. Rather than applying general-purpose AI tools that break down at scale, this architecture builds a dedicated intelligence layer on top of the codebase — one that understands the system's architecture, naming conventions, business rules, and workflows.</w:t>
      </w:r>
    </w:p>
    <w:p>
      <w:pPr>
        <w:spacing w:after="100" w:before="100"/>
      </w:pPr>
      <w:r>
        <w:t xml:space="preserve"/>
      </w:r>
    </w:p>
    <w:p>
      <w:pPr>
        <w:spacing w:after="80" w:before="80"/>
        <w:jc w:val="both"/>
      </w:pPr>
      <w:r>
        <w:rPr>
          <w:rFonts w:ascii="Arial" w:cs="Arial" w:eastAsia="Arial" w:hAnsi="Arial"/>
          <w:color w:val="444444"/>
          <w:sz w:val="22"/>
          <w:szCs w:val="22"/>
        </w:rPr>
        <w:t xml:space="preserve">The hybrid retrieval architecture — combining deterministic workflow mapping with semantic embeddings — delivers significantly higher precision than traditional RAG systems. The workflow-centric intelligence model ensures cross-layer reasoning and impact analysis are available from day one of production deployment.</w:t>
      </w:r>
    </w:p>
    <w:p>
      <w:pPr>
        <w:spacing w:after="100" w:before="100"/>
      </w:pPr>
      <w:r>
        <w:t xml:space="preserve"/>
      </w:r>
    </w:p>
    <w:p>
      <w:pPr>
        <w:spacing w:after="80" w:before="80"/>
        <w:jc w:val="both"/>
      </w:pPr>
      <w:r>
        <w:rPr>
          <w:rFonts w:ascii="Arial" w:cs="Arial" w:eastAsia="Arial" w:hAnsi="Arial"/>
          <w:color w:val="444444"/>
          <w:sz w:val="22"/>
          <w:szCs w:val="22"/>
        </w:rPr>
        <w:t xml:space="preserve">Most importantly, the system compounds in value over time. Every business logic clarification captured during indexing is permanently stored. Every conflict resolved is recorded. Every workflow indexed adds to a growing intelligence layer that currently exists only in developers' memories — and is lost when they leave.</w:t>
      </w:r>
    </w:p>
    <w:p>
      <w:pPr>
        <w:spacing w:after="100" w:before="100"/>
      </w:pPr>
      <w:r>
        <w:t xml:space="preserve"/>
      </w:r>
    </w:p>
    <w:p>
      <w:pPr>
        <w:spacing w:after="80" w:before="80"/>
        <w:jc w:val="both"/>
      </w:pPr>
      <w:r>
        <w:rPr>
          <w:rFonts w:ascii="Arial" w:cs="Arial" w:eastAsia="Arial" w:hAnsi="Arial"/>
          <w:color w:val="444444"/>
          <w:sz w:val="22"/>
          <w:szCs w:val="22"/>
        </w:rPr>
        <w:t xml:space="preserve">Phase 1 requires no infrastructure investment and can begin on a single developer machine. The architecture is designed to scale from a personal productivity tool to a team-wide engineering intelligence platform as hardware investment grows.</w:t>
      </w:r>
    </w:p>
    <w:p>
      <w:pPr>
        <w:spacing w:after="100" w:before="200"/>
      </w:pPr>
      <w:r>
        <w:t xml:space="preserve"/>
      </w:r>
    </w:p>
    <w:p>
      <w:pPr>
        <w:pBdr>
          <w:top w:val="single" w:color="2E5FA3" w:sz="6" w:space="1"/>
        </w:pBdr>
        <w:spacing w:after="160" w:before="320"/>
      </w:pPr>
    </w:p>
    <w:p>
      <w:pPr>
        <w:jc w:val="center"/>
      </w:pPr>
      <w:r>
        <w:rPr>
          <w:rFonts w:ascii="Arial" w:cs="Arial" w:eastAsia="Arial" w:hAnsi="Arial"/>
          <w:i/>
          <w:iCs/>
          <w:color w:val="444444"/>
          <w:sz w:val="18"/>
          <w:szCs w:val="18"/>
        </w:rPr>
        <w:t xml:space="preserve">Enterprise AI Engineering Intelligence Platform  |  Onkar Mane  |  github.com/Onkar-Mane/enterprise-engineering-intelligence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2026-05-21T10:58:00.993Z</dcterms:created>
  <dcterms:modified xsi:type="dcterms:W3CDTF">2026-05-21T10:58:01.012Z</dcterms:modified>
</cp:coreProperties>
</file>

<file path=docProps/custom.xml><?xml version="1.0" encoding="utf-8"?>
<Properties xmlns="http://schemas.openxmlformats.org/officeDocument/2006/custom-properties" xmlns:vt="http://schemas.openxmlformats.org/officeDocument/2006/docPropsVTypes"/>
</file>