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Segoe UI" w:hAnsi="Segoe UI"/>
          <w:b/>
          <w:color w:val="1E3A8A"/>
          <w:sz w:val="48"/>
        </w:rPr>
        <w:t>ENTERPRISE GENERATIVE AI &amp; DOCUMENT AUTOMATION PLATFORM</w:t>
      </w:r>
    </w:p>
    <w:p>
      <w:pPr>
        <w:spacing w:after="560"/>
      </w:pPr>
      <w:r>
        <w:rPr>
          <w:rFonts w:ascii="Segoe UI" w:hAnsi="Segoe UI"/>
          <w:color w:val="0D9488"/>
          <w:sz w:val="28"/>
        </w:rPr>
        <w:t>Technical Architecture &amp; Commercial Engagement Proposal</w:t>
      </w:r>
    </w:p>
    <w:p>
      <w:pPr>
        <w:spacing w:after="720"/>
      </w:pPr>
      <w:r>
        <w:rPr>
          <w:color w:val="6B7280"/>
          <w:sz w:val="21"/>
        </w:rPr>
        <w:t>PREPARED FOR: Apex Global Enterprise Solutions Pvt. Ltd.</w:t>
        <w:br/>
        <w:t>PREPARED BY: NexaWorks AI Solutions, Pune, Maharashtra, India</w:t>
        <w:br/>
        <w:t>DATE: September 20, 2026</w:t>
        <w:br/>
        <w:t>DOCUMENT VERSION: 1.0 (Final Draft)</w:t>
      </w:r>
    </w:p>
    <w:p>
      <w:r>
        <w:br w:type="page"/>
      </w:r>
    </w:p>
    <w:p>
      <w:pPr>
        <w:keepNext/>
        <w:spacing w:before="360" w:after="160"/>
      </w:pPr>
      <w:r>
        <w:rPr>
          <w:rFonts w:ascii="Segoe UI" w:hAnsi="Segoe UI"/>
          <w:b/>
          <w:color w:val="1E3A8A"/>
          <w:sz w:val="36"/>
        </w:rPr>
        <w:t>1. Introduction</w:t>
      </w:r>
    </w:p>
    <w:p>
      <w:pPr>
        <w:spacing w:line="276" w:lineRule="auto" w:after="120"/>
      </w:pPr>
      <w:r>
        <w:t>NexaWorks AI Solutions is a premier Pune-based artificial intelligence consulting firm. We specialize in enterprise multi-agent workflows, Retrieval-Augmented Generation (RAG) platforms, and automated document processing systems. Founded in 2021, our team of 65+ AI engineers and data scientists has successfully deployed 40+ production AI systems across financial services, healthcare, and logistics.</w:t>
      </w:r>
    </w:p>
    <w:p>
      <w:pPr>
        <w:spacing w:line="276" w:lineRule="auto" w:after="120"/>
      </w:pPr>
      <w:r>
        <w:t>We partner with forward-thinking enterprises like Apex Global Enterprise Solutions to transition from traditional manual documentation workflows into intelligent, autonomous, agentic pipelines. This proposal outlines our technical solution, execution roadmap, commercial investment, and operational team.</w:t>
      </w:r>
    </w:p>
    <w:p>
      <w:pPr>
        <w:keepNext/>
        <w:spacing w:before="360" w:after="160"/>
      </w:pPr>
      <w:r>
        <w:rPr>
          <w:rFonts w:ascii="Segoe UI" w:hAnsi="Segoe UI"/>
          <w:b/>
          <w:color w:val="1E3A8A"/>
          <w:sz w:val="36"/>
        </w:rPr>
        <w:t>2. Problem Statement</w:t>
      </w:r>
    </w:p>
    <w:p>
      <w:pPr>
        <w:spacing w:line="276" w:lineRule="auto" w:after="120"/>
      </w:pPr>
      <w:r>
        <w:t>Apex Global Enterprise currently processes over 12,000 corporate documents, contracts, and pitch decks annually. Through our initial technical audit, we identified three critical operational bottlenecks:</w:t>
      </w:r>
    </w:p>
    <w:p>
      <w:pPr>
        <w:pStyle w:val="ListBullet"/>
        <w:spacing w:line="276" w:lineRule="auto" w:after="80"/>
      </w:pPr>
      <w:r>
        <w:rPr>
          <w:b/>
          <w:color w:val="1E3A8A"/>
        </w:rPr>
        <w:t xml:space="preserve">Excessive Cycle Times: </w:t>
      </w:r>
      <w:r>
        <w:t xml:space="preserve"> Teams spend an average of 4.2 hours creating a single client proposal or presentation deck from raw inputs.</w:t>
      </w:r>
    </w:p>
    <w:p>
      <w:pPr>
        <w:pStyle w:val="ListBullet"/>
        <w:spacing w:line="276" w:lineRule="auto" w:after="80"/>
      </w:pPr>
      <w:r>
        <w:rPr>
          <w:b/>
          <w:color w:val="1E3A8A"/>
        </w:rPr>
        <w:t xml:space="preserve">Style &amp; Brand Inconsistencies: </w:t>
      </w:r>
      <w:r>
        <w:t xml:space="preserve"> Inconsistent font usage, color schemes, and layout hierarchies damage corporate brand integrity across regional offices.</w:t>
      </w:r>
    </w:p>
    <w:p>
      <w:pPr>
        <w:pStyle w:val="ListBullet"/>
        <w:spacing w:line="276" w:lineRule="auto" w:after="80"/>
      </w:pPr>
      <w:r>
        <w:rPr>
          <w:b/>
          <w:color w:val="1E3A8A"/>
        </w:rPr>
        <w:t xml:space="preserve">Lack of Auditability &amp; Verification: </w:t>
      </w:r>
      <w:r>
        <w:t xml:space="preserve"> Absence of audit trails makes it impossible to verify data sources or trace numbers back to primary enterprise systems.</w:t>
      </w:r>
    </w:p>
    <w:p>
      <w:pPr>
        <w:spacing w:line="276" w:lineRule="auto" w:after="120"/>
      </w:pPr>
      <w:r>
        <w:t>Addressing these issues requires a centralized AI system that respects custom document templates, queries internal knowledge bases securely, and generates fully editable DOCX and PPTX deliverables.</w:t>
      </w:r>
    </w:p>
    <w:p>
      <w:pPr>
        <w:keepNext/>
        <w:spacing w:before="360" w:after="160"/>
      </w:pPr>
      <w:r>
        <w:rPr>
          <w:rFonts w:ascii="Segoe UI" w:hAnsi="Segoe UI"/>
          <w:b/>
          <w:color w:val="1E3A8A"/>
          <w:sz w:val="36"/>
        </w:rPr>
        <w:t>3. Proposed Solution</w:t>
      </w:r>
    </w:p>
    <w:p>
      <w:pPr>
        <w:spacing w:line="276" w:lineRule="auto" w:after="120"/>
      </w:pPr>
      <w:r>
        <w:t>NexaWorks proposes the deployment of a Multi-Agent Document &amp; PPT Generation Chatbot built on top of LangGraph, Google Gemini, and Pinecone Serverless Vector Database. The architecture consists of four key layers:</w:t>
      </w:r>
    </w:p>
    <w:p>
      <w:pPr>
        <w:keepNext/>
        <w:spacing w:before="280" w:after="120"/>
      </w:pPr>
      <w:r>
        <w:rPr>
          <w:rFonts w:ascii="Segoe UI" w:hAnsi="Segoe UI"/>
          <w:b/>
          <w:color w:val="0D9488"/>
          <w:sz w:val="28"/>
        </w:rPr>
        <w:t>3.1 Core Architecture Components</w:t>
      </w:r>
    </w:p>
    <w:p>
      <w:pPr>
        <w:pStyle w:val="ListNumber"/>
        <w:spacing w:line="276" w:lineRule="auto" w:after="80"/>
      </w:pPr>
      <w:r>
        <w:rPr>
          <w:b/>
          <w:color w:val="1E3A8A"/>
        </w:rPr>
        <w:t xml:space="preserve">Template Profile Engine: </w:t>
      </w:r>
      <w:r>
        <w:t xml:space="preserve"> Custom template ingestion engine that extracts font tokens, RGB palettes, and layout hierarchies from uploaded sample files.</w:t>
      </w:r>
    </w:p>
    <w:p>
      <w:pPr>
        <w:pStyle w:val="ListNumber"/>
        <w:spacing w:line="276" w:lineRule="auto" w:after="80"/>
      </w:pPr>
      <w:r>
        <w:rPr>
          <w:b/>
          <w:color w:val="1E3A8A"/>
        </w:rPr>
        <w:t xml:space="preserve">Enterprise Knowledge Base (RAG): </w:t>
      </w:r>
      <w:r>
        <w:t xml:space="preserve"> Pinecone vector store powered by sentence-transformers (all-MiniLM-L6-v2) for instant hybrid search across corporate guidelines.</w:t>
      </w:r>
    </w:p>
    <w:p>
      <w:pPr>
        <w:pStyle w:val="ListNumber"/>
        <w:spacing w:line="276" w:lineRule="auto" w:after="80"/>
      </w:pPr>
      <w:r>
        <w:rPr>
          <w:b/>
          <w:color w:val="1E3A8A"/>
        </w:rPr>
        <w:t xml:space="preserve">LangGraph Multi-Agent Engine: </w:t>
      </w:r>
      <w:r>
        <w:t xml:space="preserve"> Supervisor agent orchestrating specialized sub-agents (Researcher, KB Retriever, Generator, and Editor) using Gemini structured JSON.</w:t>
      </w:r>
    </w:p>
    <w:p>
      <w:pPr>
        <w:pStyle w:val="ListNumber"/>
        <w:spacing w:line="276" w:lineRule="auto" w:after="80"/>
      </w:pPr>
      <w:r>
        <w:rPr>
          <w:b/>
          <w:color w:val="1E3A8A"/>
        </w:rPr>
        <w:t xml:space="preserve">Document &amp; Deck Rendering Engine: </w:t>
      </w:r>
      <w:r>
        <w:t xml:space="preserve"> Automated python-docx and python-pptx builders producing pixel-perfect, fully editable corporate artifacts with citable sources.</w:t>
      </w:r>
    </w:p>
    <w:p>
      <w:pPr>
        <w:keepNext/>
        <w:spacing w:before="360" w:after="160"/>
      </w:pPr>
      <w:r>
        <w:rPr>
          <w:rFonts w:ascii="Segoe UI" w:hAnsi="Segoe UI"/>
          <w:b/>
          <w:color w:val="1E3A8A"/>
          <w:sz w:val="36"/>
        </w:rPr>
        <w:t>4. Approach and Methodology</w:t>
      </w:r>
    </w:p>
    <w:p>
      <w:pPr>
        <w:spacing w:line="276" w:lineRule="auto" w:after="120"/>
      </w:pPr>
      <w:r>
        <w:t>We employ an iterative 4-phase agile methodology spanning 8 weeks from project kickoff to production delivery. Every sprint delivers functional software and complete transparency.</w:t>
      </w:r>
    </w:p>
    <w:p>
      <w:pPr>
        <w:pStyle w:val="ListBullet"/>
        <w:spacing w:line="276" w:lineRule="auto" w:after="80"/>
      </w:pPr>
      <w:r>
        <w:rPr>
          <w:b/>
          <w:color w:val="1E3A8A"/>
        </w:rPr>
        <w:t xml:space="preserve">Sprint 1 (Weeks 1-2) - Scaffolding &amp; Core Client: </w:t>
      </w:r>
      <w:r>
        <w:t xml:space="preserve"> Establish repository scaffolding, database schemas, FastAPI backend, and Gemini LLM client wrapper with retry and disk cache.</w:t>
      </w:r>
    </w:p>
    <w:p>
      <w:pPr>
        <w:pStyle w:val="ListBullet"/>
        <w:spacing w:line="276" w:lineRule="auto" w:after="80"/>
      </w:pPr>
      <w:r>
        <w:rPr>
          <w:b/>
          <w:color w:val="1E3A8A"/>
        </w:rPr>
        <w:t xml:space="preserve">Sprint 2 (Weeks 3-4) - Template Ingestion &amp; RAG: </w:t>
      </w:r>
      <w:r>
        <w:t xml:space="preserve"> Implement document template analyzers for DOCX/PPTX, vector indexing pipeline, and Pinecone hybrid retrieval.</w:t>
      </w:r>
    </w:p>
    <w:p>
      <w:pPr>
        <w:pStyle w:val="ListBullet"/>
        <w:spacing w:line="276" w:lineRule="auto" w:after="80"/>
      </w:pPr>
      <w:r>
        <w:rPr>
          <w:b/>
          <w:color w:val="1E3A8A"/>
        </w:rPr>
        <w:t xml:space="preserve">Sprint 3 (Weeks 5-6) - Multi-Agent Engine: </w:t>
      </w:r>
      <w:r>
        <w:t xml:space="preserve"> Assemble LangGraph supervisor state machine, multi-agent tools, prompt definitions, and structured JSON validators.</w:t>
      </w:r>
    </w:p>
    <w:p>
      <w:pPr>
        <w:pStyle w:val="ListBullet"/>
        <w:spacing w:line="276" w:lineRule="auto" w:after="80"/>
      </w:pPr>
      <w:r>
        <w:rPr>
          <w:b/>
          <w:color w:val="1E3A8A"/>
        </w:rPr>
        <w:t xml:space="preserve">Sprint 4 (Weeks 7-8) - UI, Testing &amp; Handoff: </w:t>
      </w:r>
      <w:r>
        <w:t xml:space="preserve"> Deploy Streamlit interactive UI, file export handlers, audit log viewers, UAT testing, and cloud deployment.</w:t>
      </w:r>
    </w:p>
    <w:p>
      <w:pPr>
        <w:keepNext/>
        <w:spacing w:before="360" w:after="160"/>
      </w:pPr>
      <w:r>
        <w:rPr>
          <w:rFonts w:ascii="Segoe UI" w:hAnsi="Segoe UI"/>
          <w:b/>
          <w:color w:val="1E3A8A"/>
          <w:sz w:val="36"/>
        </w:rPr>
        <w:t>5. Project Timeline &amp; Milestones</w:t>
      </w:r>
    </w:p>
    <w:p>
      <w:pPr>
        <w:spacing w:line="276" w:lineRule="auto" w:after="120"/>
      </w:pPr>
      <w:r>
        <w:t>The table below details the target milestones and schedule across the 8-week implementation window: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80" w:type="dxa"/>
              <w:right w:w="180" w:type="dxa"/>
            </w:tcMar>
          </w:tcPr>
          <w:p>
            <w:r>
              <w:rPr>
                <w:b/>
                <w:color w:val="FFFFFF"/>
              </w:rPr>
              <w:t>Phase / Sprint</w:t>
            </w:r>
          </w:p>
        </w:tc>
        <w:tc>
          <w:tcPr>
            <w:tcW w:type="dxa" w:w="2340"/>
            <w:shd w:fill="1E3A8A"/>
            <w:tcMar>
              <w:top w:w="120" w:type="dxa"/>
              <w:bottom w:w="120" w:type="dxa"/>
              <w:left w:w="180" w:type="dxa"/>
              <w:right w:w="180" w:type="dxa"/>
            </w:tcMar>
          </w:tcPr>
          <w:p>
            <w:r>
              <w:rPr>
                <w:b/>
                <w:color w:val="FFFFFF"/>
              </w:rPr>
              <w:t>Key Deliverables</w:t>
            </w:r>
          </w:p>
        </w:tc>
        <w:tc>
          <w:tcPr>
            <w:tcW w:type="dxa" w:w="2340"/>
            <w:shd w:fill="1E3A8A"/>
            <w:tcMar>
              <w:top w:w="120" w:type="dxa"/>
              <w:bottom w:w="120" w:type="dxa"/>
              <w:left w:w="180" w:type="dxa"/>
              <w:right w:w="180" w:type="dxa"/>
            </w:tcMar>
          </w:tcPr>
          <w:p>
            <w:r>
              <w:rPr>
                <w:b/>
                <w:color w:val="FFFFFF"/>
              </w:rPr>
              <w:t>Duration</w:t>
            </w:r>
          </w:p>
        </w:tc>
        <w:tc>
          <w:tcPr>
            <w:tcW w:type="dxa" w:w="2340"/>
            <w:shd w:fill="1E3A8A"/>
            <w:tcMar>
              <w:top w:w="120" w:type="dxa"/>
              <w:bottom w:w="120" w:type="dxa"/>
              <w:left w:w="180" w:type="dxa"/>
              <w:right w:w="180" w:type="dxa"/>
            </w:tcMar>
          </w:tcPr>
          <w:p>
            <w:r>
              <w:rPr>
                <w:b/>
                <w:color w:val="FFFFFF"/>
              </w:rPr>
              <w:t>Target Date</w:t>
            </w:r>
          </w:p>
        </w:tc>
      </w:tr>
      <w:tr>
        <w:tc>
          <w:tcPr>
            <w:tcW w:type="dxa" w:w="2340"/>
            <w:shd w:fill="FFFFFF"/>
            <w:tcMar>
              <w:top w:w="120" w:type="dxa"/>
              <w:bottom w:w="120" w:type="dxa"/>
              <w:left w:w="180" w:type="dxa"/>
              <w:right w:w="180" w:type="dxa"/>
            </w:tcMar>
          </w:tcPr>
          <w:p>
            <w:r>
              <w:rPr>
                <w:sz w:val="19"/>
              </w:rPr>
              <w:t>Phase 1: Foundation</w:t>
            </w:r>
          </w:p>
        </w:tc>
        <w:tc>
          <w:tcPr>
            <w:tcW w:type="dxa" w:w="2340"/>
            <w:shd w:fill="FFFFFF"/>
            <w:tcMar>
              <w:top w:w="120" w:type="dxa"/>
              <w:bottom w:w="120" w:type="dxa"/>
              <w:left w:w="180" w:type="dxa"/>
              <w:right w:w="180" w:type="dxa"/>
            </w:tcMar>
          </w:tcPr>
          <w:p>
            <w:r>
              <w:rPr>
                <w:sz w:val="19"/>
              </w:rPr>
              <w:t>Project scaffold, DB schema, FastAPI auth, LLM wrapper</w:t>
            </w:r>
          </w:p>
        </w:tc>
        <w:tc>
          <w:tcPr>
            <w:tcW w:type="dxa" w:w="2340"/>
            <w:shd w:fill="FFFFFF"/>
            <w:tcMar>
              <w:top w:w="120" w:type="dxa"/>
              <w:bottom w:w="120" w:type="dxa"/>
              <w:left w:w="180" w:type="dxa"/>
              <w:right w:w="180" w:type="dxa"/>
            </w:tcMar>
          </w:tcPr>
          <w:p>
            <w:r>
              <w:rPr>
                <w:sz w:val="19"/>
              </w:rPr>
              <w:t>Weeks 1-2</w:t>
            </w:r>
          </w:p>
        </w:tc>
        <w:tc>
          <w:tcPr>
            <w:tcW w:type="dxa" w:w="2340"/>
            <w:shd w:fill="FFFFFF"/>
            <w:tcMar>
              <w:top w:w="120" w:type="dxa"/>
              <w:bottom w:w="120" w:type="dxa"/>
              <w:left w:w="180" w:type="dxa"/>
              <w:right w:w="180" w:type="dxa"/>
            </w:tcMar>
          </w:tcPr>
          <w:p>
            <w:r>
              <w:rPr>
                <w:sz w:val="19"/>
              </w:rPr>
              <w:t>Oct 15, 2026</w:t>
            </w:r>
          </w:p>
        </w:tc>
      </w:tr>
      <w:tr>
        <w:tc>
          <w:tcPr>
            <w:tcW w:type="dxa" w:w="2340"/>
            <w:shd w:fill="F9FAFB"/>
            <w:tcMar>
              <w:top w:w="120" w:type="dxa"/>
              <w:bottom w:w="120" w:type="dxa"/>
              <w:left w:w="180" w:type="dxa"/>
              <w:right w:w="180" w:type="dxa"/>
            </w:tcMar>
          </w:tcPr>
          <w:p>
            <w:r>
              <w:rPr>
                <w:sz w:val="19"/>
              </w:rPr>
              <w:t>Phase 2: RAG &amp; Parsing</w:t>
            </w:r>
          </w:p>
        </w:tc>
        <w:tc>
          <w:tcPr>
            <w:tcW w:type="dxa" w:w="2340"/>
            <w:shd w:fill="F9FAFB"/>
            <w:tcMar>
              <w:top w:w="120" w:type="dxa"/>
              <w:bottom w:w="120" w:type="dxa"/>
              <w:left w:w="180" w:type="dxa"/>
              <w:right w:w="180" w:type="dxa"/>
            </w:tcMar>
          </w:tcPr>
          <w:p>
            <w:r>
              <w:rPr>
                <w:sz w:val="19"/>
              </w:rPr>
              <w:t>Pinecone index, DOCX/PPTX analyzers, KB ingestion</w:t>
            </w:r>
          </w:p>
        </w:tc>
        <w:tc>
          <w:tcPr>
            <w:tcW w:type="dxa" w:w="2340"/>
            <w:shd w:fill="F9FAFB"/>
            <w:tcMar>
              <w:top w:w="120" w:type="dxa"/>
              <w:bottom w:w="120" w:type="dxa"/>
              <w:left w:w="180" w:type="dxa"/>
              <w:right w:w="180" w:type="dxa"/>
            </w:tcMar>
          </w:tcPr>
          <w:p>
            <w:r>
              <w:rPr>
                <w:sz w:val="19"/>
              </w:rPr>
              <w:t>Weeks 3-4</w:t>
            </w:r>
          </w:p>
        </w:tc>
        <w:tc>
          <w:tcPr>
            <w:tcW w:type="dxa" w:w="2340"/>
            <w:shd w:fill="F9FAFB"/>
            <w:tcMar>
              <w:top w:w="120" w:type="dxa"/>
              <w:bottom w:w="120" w:type="dxa"/>
              <w:left w:w="180" w:type="dxa"/>
              <w:right w:w="180" w:type="dxa"/>
            </w:tcMar>
          </w:tcPr>
          <w:p>
            <w:r>
              <w:rPr>
                <w:sz w:val="19"/>
              </w:rPr>
              <w:t>Oct 29, 2026</w:t>
            </w:r>
          </w:p>
        </w:tc>
      </w:tr>
      <w:tr>
        <w:tc>
          <w:tcPr>
            <w:tcW w:type="dxa" w:w="2340"/>
            <w:shd w:fill="FFFFFF"/>
            <w:tcMar>
              <w:top w:w="120" w:type="dxa"/>
              <w:bottom w:w="120" w:type="dxa"/>
              <w:left w:w="180" w:type="dxa"/>
              <w:right w:w="180" w:type="dxa"/>
            </w:tcMar>
          </w:tcPr>
          <w:p>
            <w:r>
              <w:rPr>
                <w:sz w:val="19"/>
              </w:rPr>
              <w:t>Phase 3: Agent Orchestration</w:t>
            </w:r>
          </w:p>
        </w:tc>
        <w:tc>
          <w:tcPr>
            <w:tcW w:type="dxa" w:w="2340"/>
            <w:shd w:fill="FFFFFF"/>
            <w:tcMar>
              <w:top w:w="120" w:type="dxa"/>
              <w:bottom w:w="120" w:type="dxa"/>
              <w:left w:w="180" w:type="dxa"/>
              <w:right w:w="180" w:type="dxa"/>
            </w:tcMar>
          </w:tcPr>
          <w:p>
            <w:r>
              <w:rPr>
                <w:sz w:val="19"/>
              </w:rPr>
              <w:t>LangGraph supervisor, generator, editor, source tracing</w:t>
            </w:r>
          </w:p>
        </w:tc>
        <w:tc>
          <w:tcPr>
            <w:tcW w:type="dxa" w:w="2340"/>
            <w:shd w:fill="FFFFFF"/>
            <w:tcMar>
              <w:top w:w="120" w:type="dxa"/>
              <w:bottom w:w="120" w:type="dxa"/>
              <w:left w:w="180" w:type="dxa"/>
              <w:right w:w="180" w:type="dxa"/>
            </w:tcMar>
          </w:tcPr>
          <w:p>
            <w:r>
              <w:rPr>
                <w:sz w:val="19"/>
              </w:rPr>
              <w:t>Weeks 5-6</w:t>
            </w:r>
          </w:p>
        </w:tc>
        <w:tc>
          <w:tcPr>
            <w:tcW w:type="dxa" w:w="2340"/>
            <w:shd w:fill="FFFFFF"/>
            <w:tcMar>
              <w:top w:w="120" w:type="dxa"/>
              <w:bottom w:w="120" w:type="dxa"/>
              <w:left w:w="180" w:type="dxa"/>
              <w:right w:w="180" w:type="dxa"/>
            </w:tcMar>
          </w:tcPr>
          <w:p>
            <w:r>
              <w:rPr>
                <w:sz w:val="19"/>
              </w:rPr>
              <w:t>Nov 12, 2026</w:t>
            </w:r>
          </w:p>
        </w:tc>
      </w:tr>
      <w:tr>
        <w:tc>
          <w:tcPr>
            <w:tcW w:type="dxa" w:w="2340"/>
            <w:shd w:fill="F9FAFB"/>
            <w:tcMar>
              <w:top w:w="120" w:type="dxa"/>
              <w:bottom w:w="120" w:type="dxa"/>
              <w:left w:w="180" w:type="dxa"/>
              <w:right w:w="180" w:type="dxa"/>
            </w:tcMar>
          </w:tcPr>
          <w:p>
            <w:r>
              <w:rPr>
                <w:sz w:val="19"/>
              </w:rPr>
              <w:t>Phase 4: UI &amp; UAT</w:t>
            </w:r>
          </w:p>
        </w:tc>
        <w:tc>
          <w:tcPr>
            <w:tcW w:type="dxa" w:w="2340"/>
            <w:shd w:fill="F9FAFB"/>
            <w:tcMar>
              <w:top w:w="120" w:type="dxa"/>
              <w:bottom w:w="120" w:type="dxa"/>
              <w:left w:w="180" w:type="dxa"/>
              <w:right w:w="180" w:type="dxa"/>
            </w:tcMar>
          </w:tcPr>
          <w:p>
            <w:r>
              <w:rPr>
                <w:sz w:val="19"/>
              </w:rPr>
              <w:t>Streamlit UI, export pipeline, security review, go-live</w:t>
            </w:r>
          </w:p>
        </w:tc>
        <w:tc>
          <w:tcPr>
            <w:tcW w:type="dxa" w:w="2340"/>
            <w:shd w:fill="F9FAFB"/>
            <w:tcMar>
              <w:top w:w="120" w:type="dxa"/>
              <w:bottom w:w="120" w:type="dxa"/>
              <w:left w:w="180" w:type="dxa"/>
              <w:right w:w="180" w:type="dxa"/>
            </w:tcMar>
          </w:tcPr>
          <w:p>
            <w:r>
              <w:rPr>
                <w:sz w:val="19"/>
              </w:rPr>
              <w:t>Weeks 7-8</w:t>
            </w:r>
          </w:p>
        </w:tc>
        <w:tc>
          <w:tcPr>
            <w:tcW w:type="dxa" w:w="2340"/>
            <w:shd w:fill="F9FAFB"/>
            <w:tcMar>
              <w:top w:w="120" w:type="dxa"/>
              <w:bottom w:w="120" w:type="dxa"/>
              <w:left w:w="180" w:type="dxa"/>
              <w:right w:w="180" w:type="dxa"/>
            </w:tcMar>
          </w:tcPr>
          <w:p>
            <w:r>
              <w:rPr>
                <w:sz w:val="19"/>
              </w:rPr>
              <w:t>Nov 26, 2026</w:t>
            </w:r>
          </w:p>
        </w:tc>
      </w:tr>
    </w:tbl>
    <w:p>
      <w:pPr>
        <w:spacing w:after="240"/>
      </w:pPr>
    </w:p>
    <w:p>
      <w:pPr>
        <w:keepNext/>
        <w:spacing w:before="360" w:after="160"/>
      </w:pPr>
      <w:r>
        <w:rPr>
          <w:rFonts w:ascii="Segoe UI" w:hAnsi="Segoe UI"/>
          <w:b/>
          <w:color w:val="1E3A8A"/>
          <w:sz w:val="36"/>
        </w:rPr>
        <w:t>6. Commercial Investment &amp; Pricing</w:t>
      </w:r>
    </w:p>
    <w:p>
      <w:pPr>
        <w:spacing w:line="276" w:lineRule="auto" w:after="120"/>
      </w:pPr>
      <w:r>
        <w:t>Our pricing structure is transparent and fixed-price based on defined sprint deliverables. All rates include architecture design, development, quality assurance, and 60 days of post-launch support.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80" w:type="dxa"/>
              <w:right w:w="180" w:type="dxa"/>
            </w:tcMar>
          </w:tcPr>
          <w:p>
            <w:r>
              <w:rPr>
                <w:b/>
                <w:color w:val="FFFFFF"/>
              </w:rPr>
              <w:t>Module Component</w:t>
            </w:r>
          </w:p>
        </w:tc>
        <w:tc>
          <w:tcPr>
            <w:tcW w:type="dxa" w:w="2340"/>
            <w:shd w:fill="1E3A8A"/>
            <w:tcMar>
              <w:top w:w="120" w:type="dxa"/>
              <w:bottom w:w="120" w:type="dxa"/>
              <w:left w:w="180" w:type="dxa"/>
              <w:right w:w="180" w:type="dxa"/>
            </w:tcMar>
          </w:tcPr>
          <w:p>
            <w:r>
              <w:rPr>
                <w:b/>
                <w:color w:val="FFFFFF"/>
              </w:rPr>
              <w:t>Description &amp; Scope</w:t>
            </w:r>
          </w:p>
        </w:tc>
        <w:tc>
          <w:tcPr>
            <w:tcW w:type="dxa" w:w="2340"/>
            <w:shd w:fill="1E3A8A"/>
            <w:tcMar>
              <w:top w:w="120" w:type="dxa"/>
              <w:bottom w:w="120" w:type="dxa"/>
              <w:left w:w="180" w:type="dxa"/>
              <w:right w:w="180" w:type="dxa"/>
            </w:tcMar>
          </w:tcPr>
          <w:p>
            <w:r>
              <w:rPr>
                <w:b/>
                <w:color w:val="FFFFFF"/>
              </w:rPr>
              <w:t>Effort (Hrs)</w:t>
            </w:r>
          </w:p>
        </w:tc>
        <w:tc>
          <w:tcPr>
            <w:tcW w:type="dxa" w:w="2340"/>
            <w:shd w:fill="1E3A8A"/>
            <w:tcMar>
              <w:top w:w="120" w:type="dxa"/>
              <w:bottom w:w="120" w:type="dxa"/>
              <w:left w:w="180" w:type="dxa"/>
              <w:right w:w="180" w:type="dxa"/>
            </w:tcMar>
          </w:tcPr>
          <w:p>
            <w:r>
              <w:rPr>
                <w:b/>
                <w:color w:val="FFFFFF"/>
              </w:rPr>
              <w:t>Investment (INR)</w:t>
            </w:r>
          </w:p>
        </w:tc>
      </w:tr>
      <w:tr>
        <w:tc>
          <w:tcPr>
            <w:tcW w:type="dxa" w:w="2340"/>
            <w:shd w:fill="FFFFFF"/>
            <w:tcMar>
              <w:top w:w="120" w:type="dxa"/>
              <w:bottom w:w="120" w:type="dxa"/>
              <w:left w:w="180" w:type="dxa"/>
              <w:right w:w="180" w:type="dxa"/>
            </w:tcMar>
          </w:tcPr>
          <w:p>
            <w:r>
              <w:rPr>
                <w:sz w:val="19"/>
              </w:rPr>
              <w:t>Backend Skeleton &amp; LLM Client</w:t>
            </w:r>
          </w:p>
        </w:tc>
        <w:tc>
          <w:tcPr>
            <w:tcW w:type="dxa" w:w="2340"/>
            <w:shd w:fill="FFFFFF"/>
            <w:tcMar>
              <w:top w:w="120" w:type="dxa"/>
              <w:bottom w:w="120" w:type="dxa"/>
              <w:left w:w="180" w:type="dxa"/>
              <w:right w:w="180" w:type="dxa"/>
            </w:tcMar>
          </w:tcPr>
          <w:p>
            <w:r>
              <w:rPr>
                <w:sz w:val="19"/>
              </w:rPr>
              <w:t>FastAPI setup, SQLite models, Gemini wrapper with retry &amp; cache</w:t>
            </w:r>
          </w:p>
        </w:tc>
        <w:tc>
          <w:tcPr>
            <w:tcW w:type="dxa" w:w="2340"/>
            <w:shd w:fill="FFFFFF"/>
            <w:tcMar>
              <w:top w:w="120" w:type="dxa"/>
              <w:bottom w:w="120" w:type="dxa"/>
              <w:left w:w="180" w:type="dxa"/>
              <w:right w:w="180" w:type="dxa"/>
            </w:tcMar>
          </w:tcPr>
          <w:p>
            <w:r>
              <w:rPr>
                <w:sz w:val="19"/>
              </w:rPr>
              <w:t>80 hrs</w:t>
            </w:r>
          </w:p>
        </w:tc>
        <w:tc>
          <w:tcPr>
            <w:tcW w:type="dxa" w:w="2340"/>
            <w:shd w:fill="FFFFFF"/>
            <w:tcMar>
              <w:top w:w="120" w:type="dxa"/>
              <w:bottom w:w="120" w:type="dxa"/>
              <w:left w:w="180" w:type="dxa"/>
              <w:right w:w="180" w:type="dxa"/>
            </w:tcMar>
          </w:tcPr>
          <w:p>
            <w:r>
              <w:rPr>
                <w:sz w:val="19"/>
              </w:rPr>
              <w:t>₹480,000</w:t>
            </w:r>
          </w:p>
        </w:tc>
      </w:tr>
      <w:tr>
        <w:tc>
          <w:tcPr>
            <w:tcW w:type="dxa" w:w="2340"/>
            <w:shd w:fill="F9FAFB"/>
            <w:tcMar>
              <w:top w:w="120" w:type="dxa"/>
              <w:bottom w:w="120" w:type="dxa"/>
              <w:left w:w="180" w:type="dxa"/>
              <w:right w:w="180" w:type="dxa"/>
            </w:tcMar>
          </w:tcPr>
          <w:p>
            <w:r>
              <w:rPr>
                <w:sz w:val="19"/>
              </w:rPr>
              <w:t>Template Analyzer &amp; RAG Engine</w:t>
            </w:r>
          </w:p>
        </w:tc>
        <w:tc>
          <w:tcPr>
            <w:tcW w:type="dxa" w:w="2340"/>
            <w:shd w:fill="F9FAFB"/>
            <w:tcMar>
              <w:top w:w="120" w:type="dxa"/>
              <w:bottom w:w="120" w:type="dxa"/>
              <w:left w:w="180" w:type="dxa"/>
              <w:right w:w="180" w:type="dxa"/>
            </w:tcMar>
          </w:tcPr>
          <w:p>
            <w:r>
              <w:rPr>
                <w:sz w:val="19"/>
              </w:rPr>
              <w:t>DOCX/PPTX parsing, Pinecone vector integration, sentence-transformers</w:t>
            </w:r>
          </w:p>
        </w:tc>
        <w:tc>
          <w:tcPr>
            <w:tcW w:type="dxa" w:w="2340"/>
            <w:shd w:fill="F9FAFB"/>
            <w:tcMar>
              <w:top w:w="120" w:type="dxa"/>
              <w:bottom w:w="120" w:type="dxa"/>
              <w:left w:w="180" w:type="dxa"/>
              <w:right w:w="180" w:type="dxa"/>
            </w:tcMar>
          </w:tcPr>
          <w:p>
            <w:r>
              <w:rPr>
                <w:sz w:val="19"/>
              </w:rPr>
              <w:t>120 hrs</w:t>
            </w:r>
          </w:p>
        </w:tc>
        <w:tc>
          <w:tcPr>
            <w:tcW w:type="dxa" w:w="2340"/>
            <w:shd w:fill="F9FAFB"/>
            <w:tcMar>
              <w:top w:w="120" w:type="dxa"/>
              <w:bottom w:w="120" w:type="dxa"/>
              <w:left w:w="180" w:type="dxa"/>
              <w:right w:w="180" w:type="dxa"/>
            </w:tcMar>
          </w:tcPr>
          <w:p>
            <w:r>
              <w:rPr>
                <w:sz w:val="19"/>
              </w:rPr>
              <w:t>₹720,000</w:t>
            </w:r>
          </w:p>
        </w:tc>
      </w:tr>
      <w:tr>
        <w:tc>
          <w:tcPr>
            <w:tcW w:type="dxa" w:w="2340"/>
            <w:shd w:fill="FFFFFF"/>
            <w:tcMar>
              <w:top w:w="120" w:type="dxa"/>
              <w:bottom w:w="120" w:type="dxa"/>
              <w:left w:w="180" w:type="dxa"/>
              <w:right w:w="180" w:type="dxa"/>
            </w:tcMar>
          </w:tcPr>
          <w:p>
            <w:r>
              <w:rPr>
                <w:sz w:val="19"/>
              </w:rPr>
              <w:t>LangGraph Multi-Agent System</w:t>
            </w:r>
          </w:p>
        </w:tc>
        <w:tc>
          <w:tcPr>
            <w:tcW w:type="dxa" w:w="2340"/>
            <w:shd w:fill="FFFFFF"/>
            <w:tcMar>
              <w:top w:w="120" w:type="dxa"/>
              <w:bottom w:w="120" w:type="dxa"/>
              <w:left w:w="180" w:type="dxa"/>
              <w:right w:w="180" w:type="dxa"/>
            </w:tcMar>
          </w:tcPr>
          <w:p>
            <w:r>
              <w:rPr>
                <w:sz w:val="19"/>
              </w:rPr>
              <w:t>Supervisor state machine, Researcher, KB Retriever, Generator, Editor</w:t>
            </w:r>
          </w:p>
        </w:tc>
        <w:tc>
          <w:tcPr>
            <w:tcW w:type="dxa" w:w="2340"/>
            <w:shd w:fill="FFFFFF"/>
            <w:tcMar>
              <w:top w:w="120" w:type="dxa"/>
              <w:bottom w:w="120" w:type="dxa"/>
              <w:left w:w="180" w:type="dxa"/>
              <w:right w:w="180" w:type="dxa"/>
            </w:tcMar>
          </w:tcPr>
          <w:p>
            <w:r>
              <w:rPr>
                <w:sz w:val="19"/>
              </w:rPr>
              <w:t>160 hrs</w:t>
            </w:r>
          </w:p>
        </w:tc>
        <w:tc>
          <w:tcPr>
            <w:tcW w:type="dxa" w:w="2340"/>
            <w:shd w:fill="FFFFFF"/>
            <w:tcMar>
              <w:top w:w="120" w:type="dxa"/>
              <w:bottom w:w="120" w:type="dxa"/>
              <w:left w:w="180" w:type="dxa"/>
              <w:right w:w="180" w:type="dxa"/>
            </w:tcMar>
          </w:tcPr>
          <w:p>
            <w:r>
              <w:rPr>
                <w:sz w:val="19"/>
              </w:rPr>
              <w:t>₹1,120,000</w:t>
            </w:r>
          </w:p>
        </w:tc>
      </w:tr>
      <w:tr>
        <w:tc>
          <w:tcPr>
            <w:tcW w:type="dxa" w:w="2340"/>
            <w:shd w:fill="F9FAFB"/>
            <w:tcMar>
              <w:top w:w="120" w:type="dxa"/>
              <w:bottom w:w="120" w:type="dxa"/>
              <w:left w:w="180" w:type="dxa"/>
              <w:right w:w="180" w:type="dxa"/>
            </w:tcMar>
          </w:tcPr>
          <w:p>
            <w:r>
              <w:rPr>
                <w:sz w:val="19"/>
              </w:rPr>
              <w:t>Streamlit UI &amp; Export Engine</w:t>
            </w:r>
          </w:p>
        </w:tc>
        <w:tc>
          <w:tcPr>
            <w:tcW w:type="dxa" w:w="2340"/>
            <w:shd w:fill="F9FAFB"/>
            <w:tcMar>
              <w:top w:w="120" w:type="dxa"/>
              <w:bottom w:w="120" w:type="dxa"/>
              <w:left w:w="180" w:type="dxa"/>
              <w:right w:w="180" w:type="dxa"/>
            </w:tcMar>
          </w:tcPr>
          <w:p>
            <w:r>
              <w:rPr>
                <w:sz w:val="19"/>
              </w:rPr>
              <w:t>Interactive chat interface, version history, DOCX/PPTX builders</w:t>
            </w:r>
          </w:p>
        </w:tc>
        <w:tc>
          <w:tcPr>
            <w:tcW w:type="dxa" w:w="2340"/>
            <w:shd w:fill="F9FAFB"/>
            <w:tcMar>
              <w:top w:w="120" w:type="dxa"/>
              <w:bottom w:w="120" w:type="dxa"/>
              <w:left w:w="180" w:type="dxa"/>
              <w:right w:w="180" w:type="dxa"/>
            </w:tcMar>
          </w:tcPr>
          <w:p>
            <w:r>
              <w:rPr>
                <w:sz w:val="19"/>
              </w:rPr>
              <w:t>100 hrs</w:t>
            </w:r>
          </w:p>
        </w:tc>
        <w:tc>
          <w:tcPr>
            <w:tcW w:type="dxa" w:w="2340"/>
            <w:shd w:fill="F9FAFB"/>
            <w:tcMar>
              <w:top w:w="120" w:type="dxa"/>
              <w:bottom w:w="120" w:type="dxa"/>
              <w:left w:w="180" w:type="dxa"/>
              <w:right w:w="180" w:type="dxa"/>
            </w:tcMar>
          </w:tcPr>
          <w:p>
            <w:r>
              <w:rPr>
                <w:sz w:val="19"/>
              </w:rPr>
              <w:t>₹600,000</w:t>
            </w:r>
          </w:p>
        </w:tc>
      </w:tr>
      <w:tr>
        <w:tc>
          <w:tcPr>
            <w:tcW w:type="dxa" w:w="2340"/>
            <w:shd w:fill="F3F4F6"/>
            <w:tcMar>
              <w:top w:w="120" w:type="dxa"/>
              <w:bottom w:w="120" w:type="dxa"/>
              <w:left w:w="180" w:type="dxa"/>
              <w:right w:w="180" w:type="dxa"/>
            </w:tcMar>
          </w:tcPr>
          <w:p>
            <w:r>
              <w:rPr>
                <w:b/>
                <w:color w:val="1E3A8A"/>
              </w:rPr>
              <w:t>Total Investment</w:t>
            </w:r>
          </w:p>
        </w:tc>
        <w:tc>
          <w:tcPr>
            <w:tcW w:type="dxa" w:w="2340"/>
            <w:shd w:fill="F3F4F6"/>
            <w:tcMar>
              <w:top w:w="120" w:type="dxa"/>
              <w:bottom w:w="120" w:type="dxa"/>
              <w:left w:w="180" w:type="dxa"/>
              <w:right w:w="180" w:type="dxa"/>
            </w:tcMar>
          </w:tcPr>
          <w:p>
            <w:r>
              <w:rPr>
                <w:b/>
                <w:color w:val="1E3A8A"/>
              </w:rPr>
              <w:t>Complete turnkey deployment including 60-day enterprise warranty</w:t>
            </w:r>
          </w:p>
        </w:tc>
        <w:tc>
          <w:tcPr>
            <w:tcW w:type="dxa" w:w="2340"/>
            <w:shd w:fill="F3F4F6"/>
            <w:tcMar>
              <w:top w:w="120" w:type="dxa"/>
              <w:bottom w:w="120" w:type="dxa"/>
              <w:left w:w="180" w:type="dxa"/>
              <w:right w:w="180" w:type="dxa"/>
            </w:tcMar>
          </w:tcPr>
          <w:p>
            <w:r>
              <w:rPr>
                <w:b/>
                <w:color w:val="1E3A8A"/>
              </w:rPr>
              <w:t>460 hrs</w:t>
            </w:r>
          </w:p>
        </w:tc>
        <w:tc>
          <w:tcPr>
            <w:tcW w:type="dxa" w:w="2340"/>
            <w:shd w:fill="F3F4F6"/>
            <w:tcMar>
              <w:top w:w="120" w:type="dxa"/>
              <w:bottom w:w="120" w:type="dxa"/>
              <w:left w:w="180" w:type="dxa"/>
              <w:right w:w="180" w:type="dxa"/>
            </w:tcMar>
          </w:tcPr>
          <w:p>
            <w:r>
              <w:rPr>
                <w:b/>
                <w:color w:val="1E3A8A"/>
              </w:rPr>
              <w:t>₹2,920,000</w:t>
            </w:r>
          </w:p>
        </w:tc>
      </w:tr>
    </w:tbl>
    <w:p>
      <w:pPr>
        <w:spacing w:after="240"/>
      </w:pPr>
    </w:p>
    <w:p>
      <w:pPr>
        <w:keepNext/>
        <w:spacing w:before="360" w:after="160"/>
      </w:pPr>
      <w:r>
        <w:rPr>
          <w:rFonts w:ascii="Segoe UI" w:hAnsi="Segoe UI"/>
          <w:b/>
          <w:color w:val="1E3A8A"/>
          <w:sz w:val="36"/>
        </w:rPr>
        <w:t>7. Engagement Team</w:t>
      </w:r>
    </w:p>
    <w:p>
      <w:pPr>
        <w:spacing w:line="276" w:lineRule="auto" w:after="120"/>
      </w:pPr>
      <w:r>
        <w:t>NexaWorks assigns a dedicated expert pod to ensure rapid execution and technical excellence:</w:t>
      </w:r>
    </w:p>
    <w:p>
      <w:pPr>
        <w:pStyle w:val="ListBullet"/>
        <w:spacing w:line="276" w:lineRule="auto" w:after="80"/>
      </w:pPr>
      <w:r>
        <w:rPr>
          <w:b/>
          <w:color w:val="1E3A8A"/>
        </w:rPr>
        <w:t xml:space="preserve">Dr. Rajesh Kulkarni (Lead AI Architect): </w:t>
      </w:r>
      <w:r>
        <w:t xml:space="preserve"> 12+ years experience in distributed software and enterprise AI systems.</w:t>
      </w:r>
    </w:p>
    <w:p>
      <w:pPr>
        <w:pStyle w:val="ListBullet"/>
        <w:spacing w:line="276" w:lineRule="auto" w:after="80"/>
      </w:pPr>
      <w:r>
        <w:rPr>
          <w:b/>
          <w:color w:val="1E3A8A"/>
        </w:rPr>
        <w:t xml:space="preserve">Ananya Sharma (Senior LangGraph Engineer): </w:t>
      </w:r>
      <w:r>
        <w:t xml:space="preserve"> Specialist in stateful agent graphs, tool binding, and LLM structured outputs.</w:t>
      </w:r>
    </w:p>
    <w:p>
      <w:pPr>
        <w:pStyle w:val="ListBullet"/>
        <w:spacing w:line="276" w:lineRule="auto" w:after="80"/>
      </w:pPr>
      <w:r>
        <w:rPr>
          <w:b/>
          <w:color w:val="1E3A8A"/>
        </w:rPr>
        <w:t xml:space="preserve">Siddharth Verma (RAG &amp; Knowledge Engineer): </w:t>
      </w:r>
      <w:r>
        <w:t xml:space="preserve"> Expertise in vector databases, embedding models, and hybrid retrieval tuning.</w:t>
      </w:r>
    </w:p>
    <w:p>
      <w:pPr>
        <w:pStyle w:val="ListBullet"/>
        <w:spacing w:line="276" w:lineRule="auto" w:after="80"/>
      </w:pPr>
      <w:r>
        <w:rPr>
          <w:b/>
          <w:color w:val="1E3A8A"/>
        </w:rPr>
        <w:t xml:space="preserve">Priya Nair (Fullstack &amp; UI Lead): </w:t>
      </w:r>
      <w:r>
        <w:t xml:space="preserve"> Focused on intuitive chat interfaces, visual document rendering, and human-in-the-loop workflows.</w:t>
      </w:r>
    </w:p>
    <w:p>
      <w:pPr>
        <w:keepNext/>
        <w:spacing w:before="360" w:after="160"/>
      </w:pPr>
      <w:r>
        <w:rPr>
          <w:rFonts w:ascii="Segoe UI" w:hAnsi="Segoe UI"/>
          <w:b/>
          <w:color w:val="1E3A8A"/>
          <w:sz w:val="36"/>
        </w:rPr>
        <w:t>8. Conclusion &amp; Next Steps</w:t>
      </w:r>
    </w:p>
    <w:p>
      <w:pPr>
        <w:spacing w:line="276" w:lineRule="auto" w:after="120"/>
      </w:pPr>
      <w:r>
        <w:t>NexaWorks AI Solutions is uniquely positioned to deliver this high-impact document and presentation automation platform for Apex Global Enterprise. By leveraging cutting-edge multi-agent orchestration, we will empower your team to produce verified, brand-aligned documents in minutes rather than hours.</w:t>
      </w:r>
    </w:p>
    <w:p>
      <w:pPr>
        <w:spacing w:line="276" w:lineRule="auto" w:after="120"/>
      </w:pPr>
      <w:r>
        <w:t>To initiate project execution, please review and execute the attached Statement of Work (SOW). Upon signing, our team will conduct the technical kickoff within 5 business days.</w:t>
      </w:r>
    </w:p>
    <w:p>
      <w:pPr>
        <w:spacing w:line="276" w:lineRule="auto" w:after="120"/>
      </w:pPr>
      <w:r>
        <w:t>Contact Person: Rahul Deshmukh, VP of Client Solutions | Email: rahul@nexaworks.ai | Phone: +91 98220 12345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 xml:space="preserve">NexaWorks AI Solutions, Pune, India  |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NexaWorks AI Solutions | Confidential Technical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B72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