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1E3A8A"/>
          <w:sz w:val="36"/>
        </w:rPr>
        <w:t>NexaWorks AI Solutions - Services &amp; Service Lines</w:t>
      </w:r>
    </w:p>
    <w:p>
      <w:pPr>
        <w:spacing w:after="240"/>
      </w:pPr>
      <w:r>
        <w:t>NexaWorks AI Solutions provides end-to-end artificial intelligence services designed specifically for large-scale enterprise transformation. Operating from Pune, India, our engineering pod delivers scalable, secure, and custom AI systems tailored to enterprise data environments.</w:t>
      </w:r>
    </w:p>
    <w:p>
      <w:pPr>
        <w:spacing w:before="160" w:after="80"/>
      </w:pPr>
      <w:r>
        <w:rPr>
          <w:rFonts w:ascii="Segoe UI" w:hAnsi="Segoe UI"/>
          <w:b/>
          <w:color w:val="0D9488"/>
          <w:sz w:val="26"/>
        </w:rPr>
        <w:t>1. Generative AI Strategy &amp; Roadmap</w:t>
      </w:r>
    </w:p>
    <w:p>
      <w:pPr>
        <w:spacing w:after="200"/>
      </w:pPr>
      <w:r>
        <w:t>We assist CXOs in identifying high-impact AI use cases, establishing data governance, evaluating security risks, and constructing ROI-driven implementation roadmaps.</w:t>
      </w:r>
    </w:p>
    <w:p>
      <w:pPr>
        <w:spacing w:before="160" w:after="80"/>
      </w:pPr>
      <w:r>
        <w:rPr>
          <w:rFonts w:ascii="Segoe UI" w:hAnsi="Segoe UI"/>
          <w:b/>
          <w:color w:val="0D9488"/>
          <w:sz w:val="26"/>
        </w:rPr>
        <w:t>2. Custom Multi-Agent Architecture</w:t>
      </w:r>
    </w:p>
    <w:p>
      <w:pPr>
        <w:spacing w:after="200"/>
      </w:pPr>
      <w:r>
        <w:t>Using LangGraph and supervisor routing patterns, we build autonomous AI agent pods capable of web research, internal database queries, document generation, and quality editing.</w:t>
      </w:r>
    </w:p>
    <w:p>
      <w:pPr>
        <w:spacing w:before="160" w:after="80"/>
      </w:pPr>
      <w:r>
        <w:rPr>
          <w:rFonts w:ascii="Segoe UI" w:hAnsi="Segoe UI"/>
          <w:b/>
          <w:color w:val="0D9488"/>
          <w:sz w:val="26"/>
        </w:rPr>
        <w:t>3. Enterprise RAG &amp; Vector Systems</w:t>
      </w:r>
    </w:p>
    <w:p>
      <w:pPr>
        <w:spacing w:after="200"/>
      </w:pPr>
      <w:r>
        <w:t>We architect production-grade RAG systems using Pinecone serverless, sentence-transformers, and advanced chunking strategies (parent-child, semantic splitting) for sub-second search.</w:t>
      </w:r>
    </w:p>
    <w:p>
      <w:pPr>
        <w:spacing w:before="160" w:after="80"/>
      </w:pPr>
      <w:r>
        <w:rPr>
          <w:rFonts w:ascii="Segoe UI" w:hAnsi="Segoe UI"/>
          <w:b/>
          <w:color w:val="0D9488"/>
          <w:sz w:val="26"/>
        </w:rPr>
        <w:t>4. Automated Document &amp; PPTX Platforms</w:t>
      </w:r>
    </w:p>
    <w:p>
      <w:pPr>
        <w:spacing w:after="200"/>
      </w:pPr>
      <w:r>
        <w:t>We build custom python-docx and python-pptx rendering engines that dynamically format unstructured LLM output into pixel-perfect corporate templates with full auditability.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