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14890" w14:textId="06C7E254" w:rsidR="00D45933" w:rsidRDefault="00DE3D67" w:rsidP="00B031E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DISCRETIZATION</w:t>
      </w:r>
    </w:p>
    <w:p w14:paraId="63FA95AE" w14:textId="77777777" w:rsidR="00DC3827" w:rsidRPr="00686DAC" w:rsidRDefault="00DC3827" w:rsidP="00DC3827">
      <w:pPr>
        <w:rPr>
          <w:sz w:val="24"/>
          <w:szCs w:val="24"/>
        </w:rPr>
      </w:pPr>
      <w:bookmarkStart w:id="0" w:name="_Hlk48510888"/>
      <w:r>
        <w:rPr>
          <w:sz w:val="24"/>
          <w:szCs w:val="24"/>
        </w:rPr>
        <w:t xml:space="preserve">Instructions: </w:t>
      </w:r>
    </w:p>
    <w:p w14:paraId="1F4D19BE" w14:textId="77777777" w:rsidR="00DC3827" w:rsidRDefault="00DC3827" w:rsidP="00DC3827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6BE14638" w14:textId="77777777" w:rsidR="00DC3827" w:rsidRDefault="00DC3827" w:rsidP="00DC3827">
      <w:pPr>
        <w:pStyle w:val="NormalWeb"/>
        <w:spacing w:beforeAutospacing="0" w:after="160" w:afterAutospacing="0" w:line="19" w:lineRule="atLeast"/>
      </w:pPr>
    </w:p>
    <w:p w14:paraId="3C4FB506" w14:textId="77777777" w:rsidR="00DC3827" w:rsidRDefault="00DC3827" w:rsidP="00DC3827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8E0898F" w14:textId="54B1A7F1" w:rsidR="00DC3827" w:rsidRPr="00686DAC" w:rsidRDefault="007F3E37" w:rsidP="00DC3827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</w:p>
    <w:p w14:paraId="390A1FBF" w14:textId="1CA08241" w:rsidR="00DC3827" w:rsidRPr="00686DAC" w:rsidRDefault="00DC3827" w:rsidP="00DC3827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</w:t>
      </w:r>
      <w:r w:rsidR="007F3E37">
        <w:rPr>
          <w:b/>
          <w:bCs/>
        </w:rPr>
        <w:t xml:space="preserve">atch Id: </w:t>
      </w:r>
    </w:p>
    <w:p w14:paraId="3809A450" w14:textId="73FE0FBE" w:rsidR="00D45933" w:rsidRPr="00DC3827" w:rsidRDefault="00DC3827" w:rsidP="00797ED5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bookmarkEnd w:id="0"/>
    <w:p w14:paraId="73BAE546" w14:textId="77777777" w:rsidR="00DC3827" w:rsidRPr="00D45933" w:rsidRDefault="00DC3827" w:rsidP="00797ED5">
      <w:pPr>
        <w:rPr>
          <w:b/>
          <w:sz w:val="32"/>
          <w:szCs w:val="32"/>
        </w:rPr>
      </w:pPr>
    </w:p>
    <w:p w14:paraId="64F16F65" w14:textId="77777777" w:rsidR="005F6585" w:rsidRDefault="00797ED5" w:rsidP="00F0666C">
      <w:pPr>
        <w:rPr>
          <w:sz w:val="26"/>
          <w:szCs w:val="26"/>
        </w:rPr>
      </w:pPr>
      <w:r w:rsidRPr="00797ED5">
        <w:rPr>
          <w:b/>
          <w:sz w:val="26"/>
          <w:szCs w:val="26"/>
        </w:rPr>
        <w:t>Problem Statement:</w:t>
      </w:r>
      <w:r w:rsidRPr="00797ED5">
        <w:rPr>
          <w:sz w:val="26"/>
          <w:szCs w:val="26"/>
        </w:rPr>
        <w:t xml:space="preserve">  </w:t>
      </w:r>
    </w:p>
    <w:p w14:paraId="1D4B69D5" w14:textId="733CF867" w:rsidR="005F6585" w:rsidRDefault="008E3114" w:rsidP="005F6585">
      <w:pPr>
        <w:rPr>
          <w:sz w:val="26"/>
          <w:szCs w:val="26"/>
        </w:rPr>
      </w:pPr>
      <w:r>
        <w:rPr>
          <w:sz w:val="26"/>
          <w:szCs w:val="26"/>
        </w:rPr>
        <w:t>Everything will revolve around the data in Analytics world. Proper data will help y</w:t>
      </w:r>
      <w:r w:rsidR="0031763B">
        <w:rPr>
          <w:sz w:val="26"/>
          <w:szCs w:val="26"/>
        </w:rPr>
        <w:t>ou to make useful predictions which</w:t>
      </w:r>
      <w:r>
        <w:rPr>
          <w:sz w:val="26"/>
          <w:szCs w:val="26"/>
        </w:rPr>
        <w:t xml:space="preserve"> improve your business.</w:t>
      </w:r>
      <w:r w:rsidR="005F6585">
        <w:rPr>
          <w:sz w:val="26"/>
          <w:szCs w:val="26"/>
        </w:rPr>
        <w:t xml:space="preserve"> Sometimes</w:t>
      </w:r>
      <w:r w:rsidR="00D61218">
        <w:rPr>
          <w:sz w:val="26"/>
          <w:szCs w:val="26"/>
        </w:rPr>
        <w:t xml:space="preserve"> the usage of original data as it is </w:t>
      </w:r>
      <w:r w:rsidR="00EA2414">
        <w:rPr>
          <w:sz w:val="26"/>
          <w:szCs w:val="26"/>
        </w:rPr>
        <w:t>does not help</w:t>
      </w:r>
      <w:r w:rsidR="00783902">
        <w:rPr>
          <w:sz w:val="26"/>
          <w:szCs w:val="26"/>
        </w:rPr>
        <w:t xml:space="preserve"> </w:t>
      </w:r>
      <w:r w:rsidR="00D61218">
        <w:rPr>
          <w:sz w:val="26"/>
          <w:szCs w:val="26"/>
        </w:rPr>
        <w:t>to have accurate solutions.</w:t>
      </w:r>
      <w:r w:rsidR="005F6585">
        <w:rPr>
          <w:sz w:val="26"/>
          <w:szCs w:val="26"/>
        </w:rPr>
        <w:t xml:space="preserve"> </w:t>
      </w:r>
      <w:r w:rsidR="00D61218">
        <w:rPr>
          <w:sz w:val="26"/>
          <w:szCs w:val="26"/>
        </w:rPr>
        <w:t>I</w:t>
      </w:r>
      <w:r w:rsidR="005F6585">
        <w:rPr>
          <w:sz w:val="26"/>
          <w:szCs w:val="26"/>
        </w:rPr>
        <w:t xml:space="preserve">t is needed to convert the data from one form to another form to have better predictions. Explore on various techniques to transform the data for better model performance. </w:t>
      </w:r>
      <w:proofErr w:type="gramStart"/>
      <w:r w:rsidR="005F6585">
        <w:rPr>
          <w:sz w:val="26"/>
          <w:szCs w:val="26"/>
        </w:rPr>
        <w:t>you</w:t>
      </w:r>
      <w:proofErr w:type="gramEnd"/>
      <w:r w:rsidR="005F6585">
        <w:rPr>
          <w:sz w:val="26"/>
          <w:szCs w:val="26"/>
        </w:rPr>
        <w:t xml:space="preserve"> can go through this link:</w:t>
      </w:r>
    </w:p>
    <w:p w14:paraId="7127D8AF" w14:textId="77777777" w:rsidR="00A72694" w:rsidRPr="003F292D" w:rsidRDefault="005F6585" w:rsidP="005F6585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20B09648" w14:textId="77777777" w:rsidR="0031763B" w:rsidRDefault="0031763B" w:rsidP="0031763B">
      <w:pPr>
        <w:rPr>
          <w:sz w:val="26"/>
          <w:szCs w:val="26"/>
        </w:rPr>
      </w:pPr>
    </w:p>
    <w:p w14:paraId="7F9A9750" w14:textId="77777777" w:rsidR="00DE3D67" w:rsidRPr="00DE3D67" w:rsidRDefault="00DE3D67" w:rsidP="003176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Convert the continuous data into discrete classes on iris dataset.</w:t>
      </w:r>
    </w:p>
    <w:p w14:paraId="3182006E" w14:textId="4ECF3E6C" w:rsidR="0031763B" w:rsidRDefault="0031763B" w:rsidP="00DE3D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Prepare the dataset by performing the preprocessing techniques, </w:t>
      </w:r>
      <w:r>
        <w:rPr>
          <w:sz w:val="26"/>
          <w:szCs w:val="26"/>
        </w:rPr>
        <w:t xml:space="preserve">to have </w:t>
      </w:r>
      <w:r w:rsidR="00EA2414">
        <w:rPr>
          <w:sz w:val="26"/>
          <w:szCs w:val="26"/>
        </w:rPr>
        <w:t>the data</w:t>
      </w:r>
      <w:r>
        <w:rPr>
          <w:sz w:val="26"/>
          <w:szCs w:val="26"/>
        </w:rPr>
        <w:t xml:space="preserve"> which</w:t>
      </w:r>
      <w:r w:rsidR="004243E7">
        <w:rPr>
          <w:sz w:val="26"/>
          <w:szCs w:val="26"/>
        </w:rPr>
        <w:t xml:space="preserve"> improve </w:t>
      </w:r>
      <w:r w:rsidR="00972FE6">
        <w:rPr>
          <w:sz w:val="26"/>
          <w:szCs w:val="26"/>
        </w:rPr>
        <w:t>model performance</w:t>
      </w:r>
      <w:r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14:paraId="63573F3F" w14:textId="77777777" w:rsidR="0031763B" w:rsidRDefault="0031763B" w:rsidP="0031763B">
      <w:pPr>
        <w:pStyle w:val="ListParagraph"/>
        <w:rPr>
          <w:sz w:val="26"/>
        </w:rPr>
      </w:pPr>
    </w:p>
    <w:p w14:paraId="25223213" w14:textId="77777777" w:rsidR="0031763B" w:rsidRPr="00C32694" w:rsidRDefault="0031763B" w:rsidP="0031763B">
      <w:pPr>
        <w:pStyle w:val="ListParagraph"/>
        <w:rPr>
          <w:sz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8"/>
        <w:gridCol w:w="1961"/>
        <w:gridCol w:w="2069"/>
        <w:gridCol w:w="1854"/>
        <w:gridCol w:w="1674"/>
      </w:tblGrid>
      <w:tr w:rsidR="00DE3D67" w:rsidRPr="00DE3D67" w14:paraId="57DA6956" w14:textId="77777777" w:rsidTr="00DE3D67">
        <w:trPr>
          <w:trHeight w:val="288"/>
        </w:trPr>
        <w:tc>
          <w:tcPr>
            <w:tcW w:w="2018" w:type="dxa"/>
            <w:noWrap/>
            <w:hideMark/>
          </w:tcPr>
          <w:p w14:paraId="5A12AB33" w14:textId="77777777" w:rsidR="00DE3D67" w:rsidRPr="00DE3D67" w:rsidRDefault="00DE3D67" w:rsidP="00DE3D67">
            <w:pPr>
              <w:jc w:val="center"/>
            </w:pPr>
            <w:proofErr w:type="spellStart"/>
            <w:r w:rsidRPr="00DE3D67">
              <w:t>Sepal.Length</w:t>
            </w:r>
            <w:proofErr w:type="spellEnd"/>
          </w:p>
        </w:tc>
        <w:tc>
          <w:tcPr>
            <w:tcW w:w="1961" w:type="dxa"/>
            <w:noWrap/>
            <w:hideMark/>
          </w:tcPr>
          <w:p w14:paraId="193E96DA" w14:textId="77777777" w:rsidR="00DE3D67" w:rsidRPr="00DE3D67" w:rsidRDefault="00DE3D67" w:rsidP="00DE3D67">
            <w:pPr>
              <w:jc w:val="center"/>
            </w:pPr>
            <w:proofErr w:type="spellStart"/>
            <w:r w:rsidRPr="00DE3D67">
              <w:t>Sepal.Width</w:t>
            </w:r>
            <w:proofErr w:type="spellEnd"/>
          </w:p>
        </w:tc>
        <w:tc>
          <w:tcPr>
            <w:tcW w:w="2069" w:type="dxa"/>
            <w:noWrap/>
            <w:hideMark/>
          </w:tcPr>
          <w:p w14:paraId="112DDC13" w14:textId="77777777" w:rsidR="00DE3D67" w:rsidRPr="00DE3D67" w:rsidRDefault="00DE3D67" w:rsidP="00DE3D67">
            <w:pPr>
              <w:jc w:val="center"/>
            </w:pPr>
            <w:proofErr w:type="spellStart"/>
            <w:r w:rsidRPr="00DE3D67">
              <w:t>Petal.Length</w:t>
            </w:r>
            <w:proofErr w:type="spellEnd"/>
          </w:p>
        </w:tc>
        <w:tc>
          <w:tcPr>
            <w:tcW w:w="1854" w:type="dxa"/>
            <w:noWrap/>
            <w:hideMark/>
          </w:tcPr>
          <w:p w14:paraId="27608531" w14:textId="77777777" w:rsidR="00DE3D67" w:rsidRPr="00DE3D67" w:rsidRDefault="00DE3D67" w:rsidP="00DE3D67">
            <w:pPr>
              <w:jc w:val="center"/>
            </w:pPr>
            <w:proofErr w:type="spellStart"/>
            <w:r w:rsidRPr="00DE3D67">
              <w:t>Petal.Width</w:t>
            </w:r>
            <w:proofErr w:type="spellEnd"/>
          </w:p>
        </w:tc>
        <w:tc>
          <w:tcPr>
            <w:tcW w:w="1674" w:type="dxa"/>
            <w:noWrap/>
            <w:hideMark/>
          </w:tcPr>
          <w:p w14:paraId="3CE27CCC" w14:textId="77777777" w:rsidR="00DE3D67" w:rsidRPr="00DE3D67" w:rsidRDefault="00DE3D67" w:rsidP="00DE3D67">
            <w:pPr>
              <w:pStyle w:val="ListParagraph"/>
            </w:pPr>
            <w:r w:rsidRPr="00DE3D67">
              <w:t>Species</w:t>
            </w:r>
          </w:p>
        </w:tc>
      </w:tr>
      <w:tr w:rsidR="00DE3D67" w:rsidRPr="00DE3D67" w14:paraId="7CAD3113" w14:textId="77777777" w:rsidTr="00DE3D67">
        <w:trPr>
          <w:trHeight w:val="288"/>
        </w:trPr>
        <w:tc>
          <w:tcPr>
            <w:tcW w:w="2018" w:type="dxa"/>
            <w:noWrap/>
            <w:hideMark/>
          </w:tcPr>
          <w:p w14:paraId="7107F02A" w14:textId="77777777" w:rsidR="00DE3D67" w:rsidRPr="00DE3D67" w:rsidRDefault="00DE3D67" w:rsidP="00DE3D67">
            <w:pPr>
              <w:pStyle w:val="ListParagraph"/>
            </w:pPr>
            <w:r w:rsidRPr="00DE3D67">
              <w:t>5.1</w:t>
            </w:r>
          </w:p>
        </w:tc>
        <w:tc>
          <w:tcPr>
            <w:tcW w:w="1961" w:type="dxa"/>
            <w:noWrap/>
            <w:hideMark/>
          </w:tcPr>
          <w:p w14:paraId="589578FC" w14:textId="77777777" w:rsidR="00DE3D67" w:rsidRPr="00DE3D67" w:rsidRDefault="00DE3D67" w:rsidP="00DE3D67">
            <w:pPr>
              <w:pStyle w:val="ListParagraph"/>
            </w:pPr>
            <w:r w:rsidRPr="00DE3D67">
              <w:t>3.5</w:t>
            </w:r>
          </w:p>
        </w:tc>
        <w:tc>
          <w:tcPr>
            <w:tcW w:w="2069" w:type="dxa"/>
            <w:noWrap/>
            <w:hideMark/>
          </w:tcPr>
          <w:p w14:paraId="794F53F4" w14:textId="77777777" w:rsidR="00DE3D67" w:rsidRPr="00DE3D67" w:rsidRDefault="00DE3D67" w:rsidP="00DE3D67">
            <w:pPr>
              <w:pStyle w:val="ListParagraph"/>
            </w:pPr>
            <w:r w:rsidRPr="00DE3D67">
              <w:t>1.4</w:t>
            </w:r>
          </w:p>
        </w:tc>
        <w:tc>
          <w:tcPr>
            <w:tcW w:w="1854" w:type="dxa"/>
            <w:noWrap/>
            <w:hideMark/>
          </w:tcPr>
          <w:p w14:paraId="7354B3DE" w14:textId="77777777" w:rsidR="00DE3D67" w:rsidRPr="00DE3D67" w:rsidRDefault="00DE3D67" w:rsidP="00DE3D67">
            <w:pPr>
              <w:pStyle w:val="ListParagraph"/>
            </w:pPr>
            <w:r w:rsidRPr="00DE3D67">
              <w:t>0.2</w:t>
            </w:r>
          </w:p>
        </w:tc>
        <w:tc>
          <w:tcPr>
            <w:tcW w:w="1674" w:type="dxa"/>
            <w:noWrap/>
            <w:hideMark/>
          </w:tcPr>
          <w:p w14:paraId="13855226" w14:textId="77777777" w:rsidR="00DE3D67" w:rsidRPr="00DE3D67" w:rsidRDefault="00DE3D67" w:rsidP="00DE3D67">
            <w:pPr>
              <w:pStyle w:val="ListParagraph"/>
            </w:pPr>
            <w:proofErr w:type="spellStart"/>
            <w:r w:rsidRPr="00DE3D67">
              <w:t>setosa</w:t>
            </w:r>
            <w:proofErr w:type="spellEnd"/>
          </w:p>
        </w:tc>
      </w:tr>
      <w:tr w:rsidR="00DE3D67" w:rsidRPr="00DE3D67" w14:paraId="16C2D8BA" w14:textId="77777777" w:rsidTr="00DE3D67">
        <w:trPr>
          <w:trHeight w:val="288"/>
        </w:trPr>
        <w:tc>
          <w:tcPr>
            <w:tcW w:w="2018" w:type="dxa"/>
            <w:noWrap/>
            <w:hideMark/>
          </w:tcPr>
          <w:p w14:paraId="1B40ABBA" w14:textId="77777777" w:rsidR="00DE3D67" w:rsidRPr="00DE3D67" w:rsidRDefault="00DE3D67" w:rsidP="00DE3D67">
            <w:pPr>
              <w:pStyle w:val="ListParagraph"/>
            </w:pPr>
            <w:r w:rsidRPr="00DE3D67">
              <w:t>4.9</w:t>
            </w:r>
          </w:p>
        </w:tc>
        <w:tc>
          <w:tcPr>
            <w:tcW w:w="1961" w:type="dxa"/>
            <w:noWrap/>
            <w:hideMark/>
          </w:tcPr>
          <w:p w14:paraId="1B08C1EF" w14:textId="77777777" w:rsidR="00DE3D67" w:rsidRPr="00DE3D67" w:rsidRDefault="00DE3D67" w:rsidP="00DE3D67">
            <w:pPr>
              <w:pStyle w:val="ListParagraph"/>
            </w:pPr>
            <w:r w:rsidRPr="00DE3D67">
              <w:t>3</w:t>
            </w:r>
          </w:p>
        </w:tc>
        <w:tc>
          <w:tcPr>
            <w:tcW w:w="2069" w:type="dxa"/>
            <w:noWrap/>
            <w:hideMark/>
          </w:tcPr>
          <w:p w14:paraId="3A04AC9D" w14:textId="77777777" w:rsidR="00DE3D67" w:rsidRPr="00DE3D67" w:rsidRDefault="00DE3D67" w:rsidP="00DE3D67">
            <w:pPr>
              <w:pStyle w:val="ListParagraph"/>
            </w:pPr>
            <w:r w:rsidRPr="00DE3D67">
              <w:t>1.4</w:t>
            </w:r>
          </w:p>
        </w:tc>
        <w:tc>
          <w:tcPr>
            <w:tcW w:w="1854" w:type="dxa"/>
            <w:noWrap/>
            <w:hideMark/>
          </w:tcPr>
          <w:p w14:paraId="605EE51D" w14:textId="77777777" w:rsidR="00DE3D67" w:rsidRPr="00DE3D67" w:rsidRDefault="00DE3D67" w:rsidP="00DE3D67">
            <w:pPr>
              <w:pStyle w:val="ListParagraph"/>
            </w:pPr>
            <w:r w:rsidRPr="00DE3D67">
              <w:t>0.2</w:t>
            </w:r>
          </w:p>
        </w:tc>
        <w:tc>
          <w:tcPr>
            <w:tcW w:w="1674" w:type="dxa"/>
            <w:noWrap/>
            <w:hideMark/>
          </w:tcPr>
          <w:p w14:paraId="338880D2" w14:textId="77777777" w:rsidR="00DE3D67" w:rsidRPr="00DE3D67" w:rsidRDefault="00DE3D67" w:rsidP="00DE3D67">
            <w:pPr>
              <w:pStyle w:val="ListParagraph"/>
            </w:pPr>
            <w:proofErr w:type="spellStart"/>
            <w:r w:rsidRPr="00DE3D67">
              <w:t>setosa</w:t>
            </w:r>
            <w:proofErr w:type="spellEnd"/>
          </w:p>
        </w:tc>
      </w:tr>
      <w:tr w:rsidR="00DE3D67" w:rsidRPr="00DE3D67" w14:paraId="75DB6B0F" w14:textId="77777777" w:rsidTr="00DE3D67">
        <w:trPr>
          <w:trHeight w:val="288"/>
        </w:trPr>
        <w:tc>
          <w:tcPr>
            <w:tcW w:w="2018" w:type="dxa"/>
            <w:noWrap/>
            <w:hideMark/>
          </w:tcPr>
          <w:p w14:paraId="4C010247" w14:textId="77777777" w:rsidR="00DE3D67" w:rsidRPr="00DE3D67" w:rsidRDefault="00DE3D67" w:rsidP="00DE3D67">
            <w:pPr>
              <w:pStyle w:val="ListParagraph"/>
            </w:pPr>
            <w:r w:rsidRPr="00DE3D67">
              <w:t>4.7</w:t>
            </w:r>
          </w:p>
        </w:tc>
        <w:tc>
          <w:tcPr>
            <w:tcW w:w="1961" w:type="dxa"/>
            <w:noWrap/>
            <w:hideMark/>
          </w:tcPr>
          <w:p w14:paraId="5DC14C29" w14:textId="77777777" w:rsidR="00DE3D67" w:rsidRPr="00DE3D67" w:rsidRDefault="00DE3D67" w:rsidP="00DE3D67">
            <w:pPr>
              <w:pStyle w:val="ListParagraph"/>
            </w:pPr>
            <w:r w:rsidRPr="00DE3D67">
              <w:t>3.2</w:t>
            </w:r>
          </w:p>
        </w:tc>
        <w:tc>
          <w:tcPr>
            <w:tcW w:w="2069" w:type="dxa"/>
            <w:noWrap/>
            <w:hideMark/>
          </w:tcPr>
          <w:p w14:paraId="5B93B016" w14:textId="77777777" w:rsidR="00DE3D67" w:rsidRPr="00DE3D67" w:rsidRDefault="00DE3D67" w:rsidP="00DE3D67">
            <w:pPr>
              <w:pStyle w:val="ListParagraph"/>
            </w:pPr>
            <w:r w:rsidRPr="00DE3D67">
              <w:t>1.3</w:t>
            </w:r>
          </w:p>
        </w:tc>
        <w:tc>
          <w:tcPr>
            <w:tcW w:w="1854" w:type="dxa"/>
            <w:noWrap/>
            <w:hideMark/>
          </w:tcPr>
          <w:p w14:paraId="4BD72B1C" w14:textId="77777777" w:rsidR="00DE3D67" w:rsidRPr="00DE3D67" w:rsidRDefault="00DE3D67" w:rsidP="00DE3D67">
            <w:pPr>
              <w:pStyle w:val="ListParagraph"/>
            </w:pPr>
            <w:r w:rsidRPr="00DE3D67">
              <w:t>0.2</w:t>
            </w:r>
          </w:p>
        </w:tc>
        <w:tc>
          <w:tcPr>
            <w:tcW w:w="1674" w:type="dxa"/>
            <w:noWrap/>
            <w:hideMark/>
          </w:tcPr>
          <w:p w14:paraId="189DB953" w14:textId="77777777" w:rsidR="00DE3D67" w:rsidRPr="00DE3D67" w:rsidRDefault="00DE3D67" w:rsidP="00DE3D67">
            <w:pPr>
              <w:pStyle w:val="ListParagraph"/>
            </w:pPr>
            <w:proofErr w:type="spellStart"/>
            <w:r w:rsidRPr="00DE3D67">
              <w:t>setosa</w:t>
            </w:r>
            <w:proofErr w:type="spellEnd"/>
          </w:p>
        </w:tc>
      </w:tr>
      <w:tr w:rsidR="00DE3D67" w:rsidRPr="00DE3D67" w14:paraId="0723763F" w14:textId="77777777" w:rsidTr="00DE3D67">
        <w:trPr>
          <w:trHeight w:val="288"/>
        </w:trPr>
        <w:tc>
          <w:tcPr>
            <w:tcW w:w="2018" w:type="dxa"/>
            <w:noWrap/>
            <w:hideMark/>
          </w:tcPr>
          <w:p w14:paraId="7DA70A58" w14:textId="77777777" w:rsidR="00DE3D67" w:rsidRPr="00DE3D67" w:rsidRDefault="00DE3D67" w:rsidP="00DE3D67">
            <w:pPr>
              <w:pStyle w:val="ListParagraph"/>
            </w:pPr>
            <w:r w:rsidRPr="00DE3D67">
              <w:t>4.6</w:t>
            </w:r>
          </w:p>
        </w:tc>
        <w:tc>
          <w:tcPr>
            <w:tcW w:w="1961" w:type="dxa"/>
            <w:noWrap/>
            <w:hideMark/>
          </w:tcPr>
          <w:p w14:paraId="0C44C164" w14:textId="77777777" w:rsidR="00DE3D67" w:rsidRPr="00DE3D67" w:rsidRDefault="00DE3D67" w:rsidP="00DE3D67">
            <w:pPr>
              <w:pStyle w:val="ListParagraph"/>
            </w:pPr>
            <w:r w:rsidRPr="00DE3D67">
              <w:t>3.1</w:t>
            </w:r>
          </w:p>
        </w:tc>
        <w:tc>
          <w:tcPr>
            <w:tcW w:w="2069" w:type="dxa"/>
            <w:noWrap/>
            <w:hideMark/>
          </w:tcPr>
          <w:p w14:paraId="44BBD0B3" w14:textId="77777777" w:rsidR="00DE3D67" w:rsidRPr="00DE3D67" w:rsidRDefault="00DE3D67" w:rsidP="00DE3D67">
            <w:pPr>
              <w:pStyle w:val="ListParagraph"/>
            </w:pPr>
            <w:r w:rsidRPr="00DE3D67">
              <w:t>1.5</w:t>
            </w:r>
          </w:p>
        </w:tc>
        <w:tc>
          <w:tcPr>
            <w:tcW w:w="1854" w:type="dxa"/>
            <w:noWrap/>
            <w:hideMark/>
          </w:tcPr>
          <w:p w14:paraId="744245C8" w14:textId="77777777" w:rsidR="00DE3D67" w:rsidRPr="00DE3D67" w:rsidRDefault="00DE3D67" w:rsidP="00DE3D67">
            <w:pPr>
              <w:pStyle w:val="ListParagraph"/>
            </w:pPr>
            <w:r w:rsidRPr="00DE3D67">
              <w:t>0.2</w:t>
            </w:r>
          </w:p>
        </w:tc>
        <w:tc>
          <w:tcPr>
            <w:tcW w:w="1674" w:type="dxa"/>
            <w:noWrap/>
            <w:hideMark/>
          </w:tcPr>
          <w:p w14:paraId="2D7BF2EF" w14:textId="77777777" w:rsidR="00DE3D67" w:rsidRPr="00DE3D67" w:rsidRDefault="00DE3D67" w:rsidP="00DE3D67">
            <w:pPr>
              <w:pStyle w:val="ListParagraph"/>
            </w:pPr>
            <w:proofErr w:type="spellStart"/>
            <w:r w:rsidRPr="00DE3D67">
              <w:t>setosa</w:t>
            </w:r>
            <w:proofErr w:type="spellEnd"/>
          </w:p>
        </w:tc>
      </w:tr>
      <w:tr w:rsidR="00DE3D67" w:rsidRPr="00DE3D67" w14:paraId="4BCC3E57" w14:textId="77777777" w:rsidTr="00DE3D67">
        <w:trPr>
          <w:trHeight w:val="288"/>
        </w:trPr>
        <w:tc>
          <w:tcPr>
            <w:tcW w:w="2018" w:type="dxa"/>
            <w:noWrap/>
            <w:hideMark/>
          </w:tcPr>
          <w:p w14:paraId="767C03EF" w14:textId="77777777" w:rsidR="00DE3D67" w:rsidRPr="00DE3D67" w:rsidRDefault="00DE3D67" w:rsidP="00DE3D67">
            <w:pPr>
              <w:pStyle w:val="ListParagraph"/>
            </w:pPr>
            <w:r w:rsidRPr="00DE3D67">
              <w:t>5</w:t>
            </w:r>
          </w:p>
        </w:tc>
        <w:tc>
          <w:tcPr>
            <w:tcW w:w="1961" w:type="dxa"/>
            <w:noWrap/>
            <w:hideMark/>
          </w:tcPr>
          <w:p w14:paraId="0EAFD8BF" w14:textId="77777777" w:rsidR="00DE3D67" w:rsidRPr="00DE3D67" w:rsidRDefault="00DE3D67" w:rsidP="00DE3D67">
            <w:pPr>
              <w:pStyle w:val="ListParagraph"/>
            </w:pPr>
            <w:r w:rsidRPr="00DE3D67">
              <w:t>3.6</w:t>
            </w:r>
          </w:p>
        </w:tc>
        <w:tc>
          <w:tcPr>
            <w:tcW w:w="2069" w:type="dxa"/>
            <w:noWrap/>
            <w:hideMark/>
          </w:tcPr>
          <w:p w14:paraId="0B1AC0AD" w14:textId="77777777" w:rsidR="00DE3D67" w:rsidRPr="00DE3D67" w:rsidRDefault="00DE3D67" w:rsidP="00DE3D67">
            <w:pPr>
              <w:pStyle w:val="ListParagraph"/>
            </w:pPr>
            <w:r w:rsidRPr="00DE3D67">
              <w:t>1.4</w:t>
            </w:r>
          </w:p>
        </w:tc>
        <w:tc>
          <w:tcPr>
            <w:tcW w:w="1854" w:type="dxa"/>
            <w:noWrap/>
            <w:hideMark/>
          </w:tcPr>
          <w:p w14:paraId="1C5E638C" w14:textId="77777777" w:rsidR="00DE3D67" w:rsidRPr="00DE3D67" w:rsidRDefault="00DE3D67" w:rsidP="00DE3D67">
            <w:pPr>
              <w:pStyle w:val="ListParagraph"/>
            </w:pPr>
            <w:r w:rsidRPr="00DE3D67">
              <w:t>0.2</w:t>
            </w:r>
          </w:p>
        </w:tc>
        <w:tc>
          <w:tcPr>
            <w:tcW w:w="1674" w:type="dxa"/>
            <w:noWrap/>
            <w:hideMark/>
          </w:tcPr>
          <w:p w14:paraId="6C1DBC43" w14:textId="77777777" w:rsidR="00DE3D67" w:rsidRPr="00DE3D67" w:rsidRDefault="00DE3D67" w:rsidP="00DE3D67">
            <w:pPr>
              <w:pStyle w:val="ListParagraph"/>
            </w:pPr>
            <w:proofErr w:type="spellStart"/>
            <w:r w:rsidRPr="00DE3D67">
              <w:t>setosa</w:t>
            </w:r>
            <w:proofErr w:type="spellEnd"/>
          </w:p>
        </w:tc>
      </w:tr>
      <w:tr w:rsidR="00DE3D67" w:rsidRPr="00DE3D67" w14:paraId="0EB99A6A" w14:textId="77777777" w:rsidTr="00DE3D67">
        <w:trPr>
          <w:trHeight w:val="288"/>
        </w:trPr>
        <w:tc>
          <w:tcPr>
            <w:tcW w:w="2018" w:type="dxa"/>
            <w:noWrap/>
            <w:hideMark/>
          </w:tcPr>
          <w:p w14:paraId="75806DF0" w14:textId="77777777" w:rsidR="00DE3D67" w:rsidRPr="00DE3D67" w:rsidRDefault="00DE3D67" w:rsidP="00DE3D67">
            <w:pPr>
              <w:pStyle w:val="ListParagraph"/>
            </w:pPr>
            <w:r w:rsidRPr="00DE3D67">
              <w:t>5.4</w:t>
            </w:r>
          </w:p>
        </w:tc>
        <w:tc>
          <w:tcPr>
            <w:tcW w:w="1961" w:type="dxa"/>
            <w:noWrap/>
            <w:hideMark/>
          </w:tcPr>
          <w:p w14:paraId="5B068453" w14:textId="77777777" w:rsidR="00DE3D67" w:rsidRPr="00DE3D67" w:rsidRDefault="00DE3D67" w:rsidP="00DE3D67">
            <w:pPr>
              <w:pStyle w:val="ListParagraph"/>
            </w:pPr>
            <w:r w:rsidRPr="00DE3D67">
              <w:t>3.9</w:t>
            </w:r>
          </w:p>
        </w:tc>
        <w:tc>
          <w:tcPr>
            <w:tcW w:w="2069" w:type="dxa"/>
            <w:noWrap/>
            <w:hideMark/>
          </w:tcPr>
          <w:p w14:paraId="240F52F9" w14:textId="77777777" w:rsidR="00DE3D67" w:rsidRPr="00DE3D67" w:rsidRDefault="00DE3D67" w:rsidP="00DE3D67">
            <w:pPr>
              <w:pStyle w:val="ListParagraph"/>
            </w:pPr>
            <w:r w:rsidRPr="00DE3D67">
              <w:t>1.7</w:t>
            </w:r>
          </w:p>
        </w:tc>
        <w:tc>
          <w:tcPr>
            <w:tcW w:w="1854" w:type="dxa"/>
            <w:noWrap/>
            <w:hideMark/>
          </w:tcPr>
          <w:p w14:paraId="7AEEE6BB" w14:textId="77777777" w:rsidR="00DE3D67" w:rsidRPr="00DE3D67" w:rsidRDefault="00DE3D67" w:rsidP="00DE3D67">
            <w:pPr>
              <w:pStyle w:val="ListParagraph"/>
            </w:pPr>
            <w:r w:rsidRPr="00DE3D67">
              <w:t>0.4</w:t>
            </w:r>
          </w:p>
        </w:tc>
        <w:tc>
          <w:tcPr>
            <w:tcW w:w="1674" w:type="dxa"/>
            <w:noWrap/>
            <w:hideMark/>
          </w:tcPr>
          <w:p w14:paraId="3A1690B1" w14:textId="77777777" w:rsidR="00DE3D67" w:rsidRPr="00DE3D67" w:rsidRDefault="00DE3D67" w:rsidP="00DE3D67">
            <w:pPr>
              <w:pStyle w:val="ListParagraph"/>
            </w:pPr>
            <w:proofErr w:type="spellStart"/>
            <w:r w:rsidRPr="00DE3D67">
              <w:t>setosa</w:t>
            </w:r>
            <w:proofErr w:type="spellEnd"/>
          </w:p>
        </w:tc>
      </w:tr>
      <w:tr w:rsidR="00DE3D67" w:rsidRPr="00DE3D67" w14:paraId="5F7EBD1F" w14:textId="77777777" w:rsidTr="00DE3D67">
        <w:trPr>
          <w:trHeight w:val="288"/>
        </w:trPr>
        <w:tc>
          <w:tcPr>
            <w:tcW w:w="2018" w:type="dxa"/>
            <w:noWrap/>
            <w:hideMark/>
          </w:tcPr>
          <w:p w14:paraId="01658C42" w14:textId="77777777" w:rsidR="00DE3D67" w:rsidRPr="00DE3D67" w:rsidRDefault="00DE3D67" w:rsidP="00DE3D67">
            <w:pPr>
              <w:pStyle w:val="ListParagraph"/>
            </w:pPr>
            <w:r w:rsidRPr="00DE3D67">
              <w:t>4.6</w:t>
            </w:r>
          </w:p>
        </w:tc>
        <w:tc>
          <w:tcPr>
            <w:tcW w:w="1961" w:type="dxa"/>
            <w:noWrap/>
            <w:hideMark/>
          </w:tcPr>
          <w:p w14:paraId="2FC278D9" w14:textId="77777777" w:rsidR="00DE3D67" w:rsidRPr="00DE3D67" w:rsidRDefault="00DE3D67" w:rsidP="00DE3D67">
            <w:pPr>
              <w:pStyle w:val="ListParagraph"/>
            </w:pPr>
            <w:r w:rsidRPr="00DE3D67">
              <w:t>3.4</w:t>
            </w:r>
          </w:p>
        </w:tc>
        <w:tc>
          <w:tcPr>
            <w:tcW w:w="2069" w:type="dxa"/>
            <w:noWrap/>
            <w:hideMark/>
          </w:tcPr>
          <w:p w14:paraId="52A2F180" w14:textId="77777777" w:rsidR="00DE3D67" w:rsidRPr="00DE3D67" w:rsidRDefault="00DE3D67" w:rsidP="00DE3D67">
            <w:pPr>
              <w:pStyle w:val="ListParagraph"/>
            </w:pPr>
            <w:r w:rsidRPr="00DE3D67">
              <w:t>1.4</w:t>
            </w:r>
          </w:p>
        </w:tc>
        <w:tc>
          <w:tcPr>
            <w:tcW w:w="1854" w:type="dxa"/>
            <w:noWrap/>
            <w:hideMark/>
          </w:tcPr>
          <w:p w14:paraId="5017AA95" w14:textId="77777777" w:rsidR="00DE3D67" w:rsidRPr="00DE3D67" w:rsidRDefault="00DE3D67" w:rsidP="00DE3D67">
            <w:pPr>
              <w:pStyle w:val="ListParagraph"/>
            </w:pPr>
            <w:r w:rsidRPr="00DE3D67">
              <w:t>0.3</w:t>
            </w:r>
          </w:p>
        </w:tc>
        <w:tc>
          <w:tcPr>
            <w:tcW w:w="1674" w:type="dxa"/>
            <w:noWrap/>
            <w:hideMark/>
          </w:tcPr>
          <w:p w14:paraId="36F7E7A7" w14:textId="77777777" w:rsidR="00DE3D67" w:rsidRPr="00DE3D67" w:rsidRDefault="00DE3D67" w:rsidP="00DE3D67">
            <w:pPr>
              <w:pStyle w:val="ListParagraph"/>
            </w:pPr>
            <w:proofErr w:type="spellStart"/>
            <w:r w:rsidRPr="00DE3D67">
              <w:t>setosa</w:t>
            </w:r>
            <w:proofErr w:type="spellEnd"/>
          </w:p>
        </w:tc>
      </w:tr>
      <w:tr w:rsidR="00DE3D67" w:rsidRPr="00DE3D67" w14:paraId="07886A4A" w14:textId="77777777" w:rsidTr="00DE3D67">
        <w:trPr>
          <w:trHeight w:val="288"/>
        </w:trPr>
        <w:tc>
          <w:tcPr>
            <w:tcW w:w="2018" w:type="dxa"/>
            <w:noWrap/>
            <w:hideMark/>
          </w:tcPr>
          <w:p w14:paraId="1C2A24BB" w14:textId="77777777" w:rsidR="00DE3D67" w:rsidRPr="00DE3D67" w:rsidRDefault="00DE3D67" w:rsidP="00DE3D67">
            <w:pPr>
              <w:pStyle w:val="ListParagraph"/>
            </w:pPr>
            <w:r w:rsidRPr="00DE3D67">
              <w:t>5</w:t>
            </w:r>
          </w:p>
        </w:tc>
        <w:tc>
          <w:tcPr>
            <w:tcW w:w="1961" w:type="dxa"/>
            <w:noWrap/>
            <w:hideMark/>
          </w:tcPr>
          <w:p w14:paraId="17CFE4F1" w14:textId="77777777" w:rsidR="00DE3D67" w:rsidRPr="00DE3D67" w:rsidRDefault="00DE3D67" w:rsidP="00DE3D67">
            <w:pPr>
              <w:pStyle w:val="ListParagraph"/>
            </w:pPr>
            <w:r w:rsidRPr="00DE3D67">
              <w:t>3.4</w:t>
            </w:r>
          </w:p>
        </w:tc>
        <w:tc>
          <w:tcPr>
            <w:tcW w:w="2069" w:type="dxa"/>
            <w:noWrap/>
            <w:hideMark/>
          </w:tcPr>
          <w:p w14:paraId="1D8E9E36" w14:textId="77777777" w:rsidR="00DE3D67" w:rsidRPr="00DE3D67" w:rsidRDefault="00DE3D67" w:rsidP="00DE3D67">
            <w:pPr>
              <w:pStyle w:val="ListParagraph"/>
            </w:pPr>
            <w:r w:rsidRPr="00DE3D67">
              <w:t>1.5</w:t>
            </w:r>
          </w:p>
        </w:tc>
        <w:tc>
          <w:tcPr>
            <w:tcW w:w="1854" w:type="dxa"/>
            <w:noWrap/>
            <w:hideMark/>
          </w:tcPr>
          <w:p w14:paraId="03583AFD" w14:textId="77777777" w:rsidR="00DE3D67" w:rsidRPr="00DE3D67" w:rsidRDefault="00DE3D67" w:rsidP="00DE3D67">
            <w:pPr>
              <w:pStyle w:val="ListParagraph"/>
            </w:pPr>
            <w:r w:rsidRPr="00DE3D67">
              <w:t>0.2</w:t>
            </w:r>
          </w:p>
        </w:tc>
        <w:tc>
          <w:tcPr>
            <w:tcW w:w="1674" w:type="dxa"/>
            <w:noWrap/>
            <w:hideMark/>
          </w:tcPr>
          <w:p w14:paraId="6ADBA651" w14:textId="77777777" w:rsidR="00DE3D67" w:rsidRPr="00DE3D67" w:rsidRDefault="00DE3D67" w:rsidP="00DE3D67">
            <w:pPr>
              <w:pStyle w:val="ListParagraph"/>
            </w:pPr>
            <w:proofErr w:type="spellStart"/>
            <w:r w:rsidRPr="00DE3D67">
              <w:t>setosa</w:t>
            </w:r>
            <w:proofErr w:type="spellEnd"/>
          </w:p>
        </w:tc>
      </w:tr>
      <w:tr w:rsidR="00DE3D67" w:rsidRPr="00DE3D67" w14:paraId="4398647B" w14:textId="77777777" w:rsidTr="00DE3D67">
        <w:trPr>
          <w:trHeight w:val="288"/>
        </w:trPr>
        <w:tc>
          <w:tcPr>
            <w:tcW w:w="2018" w:type="dxa"/>
            <w:noWrap/>
            <w:hideMark/>
          </w:tcPr>
          <w:p w14:paraId="17624BE9" w14:textId="77777777" w:rsidR="00DE3D67" w:rsidRPr="00DE3D67" w:rsidRDefault="00DE3D67" w:rsidP="00DE3D67">
            <w:pPr>
              <w:pStyle w:val="ListParagraph"/>
            </w:pPr>
            <w:r w:rsidRPr="00DE3D67">
              <w:lastRenderedPageBreak/>
              <w:t>4.4</w:t>
            </w:r>
          </w:p>
        </w:tc>
        <w:tc>
          <w:tcPr>
            <w:tcW w:w="1961" w:type="dxa"/>
            <w:noWrap/>
            <w:hideMark/>
          </w:tcPr>
          <w:p w14:paraId="3106F7DF" w14:textId="77777777" w:rsidR="00DE3D67" w:rsidRPr="00DE3D67" w:rsidRDefault="00DE3D67" w:rsidP="00DE3D67">
            <w:pPr>
              <w:pStyle w:val="ListParagraph"/>
            </w:pPr>
            <w:r w:rsidRPr="00DE3D67">
              <w:t>2.9</w:t>
            </w:r>
          </w:p>
        </w:tc>
        <w:tc>
          <w:tcPr>
            <w:tcW w:w="2069" w:type="dxa"/>
            <w:noWrap/>
            <w:hideMark/>
          </w:tcPr>
          <w:p w14:paraId="735FF1C3" w14:textId="77777777" w:rsidR="00DE3D67" w:rsidRPr="00DE3D67" w:rsidRDefault="00DE3D67" w:rsidP="00DE3D67">
            <w:pPr>
              <w:pStyle w:val="ListParagraph"/>
            </w:pPr>
            <w:r w:rsidRPr="00DE3D67">
              <w:t>1.4</w:t>
            </w:r>
          </w:p>
        </w:tc>
        <w:tc>
          <w:tcPr>
            <w:tcW w:w="1854" w:type="dxa"/>
            <w:noWrap/>
            <w:hideMark/>
          </w:tcPr>
          <w:p w14:paraId="42CAB82E" w14:textId="77777777" w:rsidR="00DE3D67" w:rsidRPr="00DE3D67" w:rsidRDefault="00DE3D67" w:rsidP="00DE3D67">
            <w:pPr>
              <w:pStyle w:val="ListParagraph"/>
            </w:pPr>
            <w:r w:rsidRPr="00DE3D67">
              <w:t>0.2</w:t>
            </w:r>
          </w:p>
        </w:tc>
        <w:tc>
          <w:tcPr>
            <w:tcW w:w="1674" w:type="dxa"/>
            <w:noWrap/>
            <w:hideMark/>
          </w:tcPr>
          <w:p w14:paraId="76089DBD" w14:textId="77777777" w:rsidR="00DE3D67" w:rsidRPr="00DE3D67" w:rsidRDefault="00DE3D67" w:rsidP="00DE3D67">
            <w:pPr>
              <w:pStyle w:val="ListParagraph"/>
            </w:pPr>
            <w:proofErr w:type="spellStart"/>
            <w:r w:rsidRPr="00DE3D67">
              <w:t>setosa</w:t>
            </w:r>
            <w:proofErr w:type="spellEnd"/>
          </w:p>
        </w:tc>
      </w:tr>
      <w:tr w:rsidR="00DE3D67" w:rsidRPr="00DE3D67" w14:paraId="41476867" w14:textId="77777777" w:rsidTr="00DE3D67">
        <w:trPr>
          <w:trHeight w:val="288"/>
        </w:trPr>
        <w:tc>
          <w:tcPr>
            <w:tcW w:w="2018" w:type="dxa"/>
            <w:noWrap/>
            <w:hideMark/>
          </w:tcPr>
          <w:p w14:paraId="4853903C" w14:textId="77777777" w:rsidR="00DE3D67" w:rsidRPr="00DE3D67" w:rsidRDefault="00DE3D67" w:rsidP="00DE3D67">
            <w:pPr>
              <w:pStyle w:val="ListParagraph"/>
            </w:pPr>
            <w:r w:rsidRPr="00DE3D67">
              <w:t>4.9</w:t>
            </w:r>
          </w:p>
        </w:tc>
        <w:tc>
          <w:tcPr>
            <w:tcW w:w="1961" w:type="dxa"/>
            <w:noWrap/>
            <w:hideMark/>
          </w:tcPr>
          <w:p w14:paraId="48D12790" w14:textId="77777777" w:rsidR="00DE3D67" w:rsidRPr="00DE3D67" w:rsidRDefault="00DE3D67" w:rsidP="00DE3D67">
            <w:pPr>
              <w:pStyle w:val="ListParagraph"/>
            </w:pPr>
            <w:r w:rsidRPr="00DE3D67">
              <w:t>3.1</w:t>
            </w:r>
          </w:p>
        </w:tc>
        <w:tc>
          <w:tcPr>
            <w:tcW w:w="2069" w:type="dxa"/>
            <w:noWrap/>
            <w:hideMark/>
          </w:tcPr>
          <w:p w14:paraId="1AE78A05" w14:textId="77777777" w:rsidR="00DE3D67" w:rsidRPr="00DE3D67" w:rsidRDefault="00DE3D67" w:rsidP="00DE3D67">
            <w:pPr>
              <w:pStyle w:val="ListParagraph"/>
            </w:pPr>
            <w:r w:rsidRPr="00DE3D67">
              <w:t>1.5</w:t>
            </w:r>
          </w:p>
        </w:tc>
        <w:tc>
          <w:tcPr>
            <w:tcW w:w="1854" w:type="dxa"/>
            <w:noWrap/>
            <w:hideMark/>
          </w:tcPr>
          <w:p w14:paraId="3FA698F7" w14:textId="77777777" w:rsidR="00DE3D67" w:rsidRPr="00DE3D67" w:rsidRDefault="00DE3D67" w:rsidP="00DE3D67">
            <w:pPr>
              <w:pStyle w:val="ListParagraph"/>
            </w:pPr>
            <w:r w:rsidRPr="00DE3D67">
              <w:t>0.1</w:t>
            </w:r>
          </w:p>
        </w:tc>
        <w:tc>
          <w:tcPr>
            <w:tcW w:w="1674" w:type="dxa"/>
            <w:noWrap/>
            <w:hideMark/>
          </w:tcPr>
          <w:p w14:paraId="75470994" w14:textId="77777777" w:rsidR="00DE3D67" w:rsidRPr="00DE3D67" w:rsidRDefault="00DE3D67" w:rsidP="00DE3D67">
            <w:pPr>
              <w:pStyle w:val="ListParagraph"/>
            </w:pPr>
            <w:proofErr w:type="spellStart"/>
            <w:r w:rsidRPr="00DE3D67">
              <w:t>setosa</w:t>
            </w:r>
            <w:proofErr w:type="spellEnd"/>
          </w:p>
        </w:tc>
      </w:tr>
    </w:tbl>
    <w:p w14:paraId="2BE7C2BE" w14:textId="68ABCF59" w:rsidR="0031763B" w:rsidRDefault="0031763B" w:rsidP="0031763B">
      <w:pPr>
        <w:pStyle w:val="ListParagraph"/>
      </w:pPr>
    </w:p>
    <w:p w14:paraId="3652451A" w14:textId="724DC859" w:rsidR="003F292D" w:rsidRDefault="007F3E37" w:rsidP="00F0666C">
      <w:pPr>
        <w:rPr>
          <w:b/>
          <w:color w:val="FF0000"/>
          <w:sz w:val="32"/>
        </w:rPr>
      </w:pPr>
      <w:r>
        <w:rPr>
          <w:b/>
          <w:color w:val="FF0000"/>
          <w:sz w:val="32"/>
        </w:rPr>
        <w:t>Answer:</w:t>
      </w:r>
    </w:p>
    <w:tbl>
      <w:tblPr>
        <w:tblStyle w:val="TableGrid"/>
        <w:tblW w:w="9576" w:type="dxa"/>
        <w:tblInd w:w="-72" w:type="dxa"/>
        <w:tblLook w:val="04A0" w:firstRow="1" w:lastRow="0" w:firstColumn="1" w:lastColumn="0" w:noHBand="0" w:noVBand="1"/>
      </w:tblPr>
      <w:tblGrid>
        <w:gridCol w:w="2033"/>
        <w:gridCol w:w="2731"/>
        <w:gridCol w:w="2469"/>
        <w:gridCol w:w="2343"/>
      </w:tblGrid>
      <w:tr w:rsidR="007F3E37" w14:paraId="22677140" w14:textId="77777777" w:rsidTr="00237474">
        <w:trPr>
          <w:trHeight w:val="416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A72B" w14:textId="77777777" w:rsidR="007F3E37" w:rsidRPr="00F557FD" w:rsidRDefault="007F3E37" w:rsidP="00C66D4D">
            <w:pPr>
              <w:jc w:val="center"/>
              <w:rPr>
                <w:b/>
                <w:color w:val="FF0000"/>
              </w:rPr>
            </w:pPr>
            <w:r w:rsidRPr="00F557FD">
              <w:rPr>
                <w:b/>
                <w:color w:val="FF0000"/>
                <w:highlight w:val="yellow"/>
              </w:rPr>
              <w:t>Name of Feature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CF0D" w14:textId="77777777" w:rsidR="007F3E37" w:rsidRPr="00F557FD" w:rsidRDefault="007F3E37" w:rsidP="00C66D4D">
            <w:pPr>
              <w:jc w:val="center"/>
              <w:rPr>
                <w:b/>
                <w:color w:val="FF0000"/>
              </w:rPr>
            </w:pPr>
            <w:r w:rsidRPr="00F557FD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7E291" w14:textId="77777777" w:rsidR="007F3E37" w:rsidRPr="00F557FD" w:rsidRDefault="007F3E37" w:rsidP="00C66D4D">
            <w:pPr>
              <w:jc w:val="center"/>
              <w:rPr>
                <w:b/>
                <w:color w:val="FF0000"/>
              </w:rPr>
            </w:pPr>
            <w:r w:rsidRPr="00F557FD">
              <w:rPr>
                <w:b/>
                <w:color w:val="FF0000"/>
                <w:highlight w:val="yellow"/>
              </w:rPr>
              <w:t>Types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9B09" w14:textId="77777777" w:rsidR="007F3E37" w:rsidRPr="00F557FD" w:rsidRDefault="007F3E37" w:rsidP="00C66D4D">
            <w:pPr>
              <w:jc w:val="center"/>
              <w:rPr>
                <w:b/>
                <w:color w:val="FF0000"/>
              </w:rPr>
            </w:pPr>
            <w:r w:rsidRPr="00F557FD">
              <w:rPr>
                <w:b/>
                <w:color w:val="FF0000"/>
                <w:highlight w:val="yellow"/>
              </w:rPr>
              <w:t>Relevance</w:t>
            </w:r>
          </w:p>
        </w:tc>
      </w:tr>
      <w:tr w:rsidR="007F3E37" w14:paraId="23E60ADA" w14:textId="77777777" w:rsidTr="00237474">
        <w:trPr>
          <w:trHeight w:val="408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7AF0" w14:textId="67602371" w:rsidR="007F3E37" w:rsidRDefault="007F3E37" w:rsidP="00C66D4D">
            <w:pPr>
              <w:jc w:val="center"/>
            </w:pPr>
            <w:proofErr w:type="spellStart"/>
            <w:r w:rsidRPr="00DE3D67">
              <w:t>Sepal.Length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4F75" w14:textId="0AAF6691" w:rsidR="007F3E37" w:rsidRDefault="007F3E37" w:rsidP="00C66D4D">
            <w:pPr>
              <w:jc w:val="center"/>
            </w:pPr>
            <w:r>
              <w:t>Length of Sepal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2887" w14:textId="157B0161" w:rsidR="007F3E37" w:rsidRDefault="007F3E37" w:rsidP="00C66D4D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 Ratio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1819B" w14:textId="77777777" w:rsidR="007F3E37" w:rsidRDefault="007F3E37" w:rsidP="00C66D4D">
            <w:pPr>
              <w:jc w:val="center"/>
            </w:pPr>
            <w:r>
              <w:t>Relevant</w:t>
            </w:r>
          </w:p>
        </w:tc>
      </w:tr>
      <w:tr w:rsidR="007F3E37" w14:paraId="126D70D6" w14:textId="77777777" w:rsidTr="00237474">
        <w:trPr>
          <w:trHeight w:val="56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B0444" w14:textId="44D6D870" w:rsidR="007F3E37" w:rsidRDefault="007F3E37" w:rsidP="00C66D4D">
            <w:pPr>
              <w:jc w:val="center"/>
            </w:pPr>
            <w:proofErr w:type="spellStart"/>
            <w:r w:rsidRPr="00DE3D67">
              <w:t>Sepal.Width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91F3" w14:textId="75817D9D" w:rsidR="007F3E37" w:rsidRDefault="007F3E37" w:rsidP="00C66D4D">
            <w:pPr>
              <w:jc w:val="center"/>
            </w:pPr>
            <w:r>
              <w:t>Width of Sepal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EAAD" w14:textId="09FBA1CE" w:rsidR="007F3E37" w:rsidRDefault="007F3E37" w:rsidP="00C66D4D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 Ratio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DA8B2" w14:textId="77777777" w:rsidR="007F3E37" w:rsidRDefault="007F3E37" w:rsidP="00C66D4D">
            <w:pPr>
              <w:jc w:val="center"/>
            </w:pPr>
            <w:r>
              <w:t>Relevant</w:t>
            </w:r>
          </w:p>
        </w:tc>
      </w:tr>
      <w:tr w:rsidR="007F3E37" w14:paraId="788FA653" w14:textId="77777777" w:rsidTr="00237474">
        <w:trPr>
          <w:trHeight w:val="549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7E23" w14:textId="4BC91AE7" w:rsidR="007F3E37" w:rsidRDefault="007F3E37" w:rsidP="00C66D4D">
            <w:pPr>
              <w:jc w:val="center"/>
            </w:pPr>
            <w:proofErr w:type="spellStart"/>
            <w:r w:rsidRPr="00DE3D67">
              <w:t>Petal.Length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9C79F" w14:textId="66061E13" w:rsidR="007F3E37" w:rsidRDefault="007F3E37" w:rsidP="00C66D4D">
            <w:pPr>
              <w:jc w:val="center"/>
            </w:pPr>
            <w:r>
              <w:t>Length of Petal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26D4" w14:textId="3ABD448D" w:rsidR="007F3E37" w:rsidRDefault="007F3E37" w:rsidP="00C66D4D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 Ratio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8DD3" w14:textId="77777777" w:rsidR="007F3E37" w:rsidRDefault="007F3E37" w:rsidP="00C66D4D">
            <w:pPr>
              <w:jc w:val="center"/>
            </w:pPr>
            <w:r>
              <w:t>Relevant</w:t>
            </w:r>
          </w:p>
        </w:tc>
      </w:tr>
      <w:tr w:rsidR="007F3E37" w14:paraId="02272DCD" w14:textId="77777777" w:rsidTr="00237474">
        <w:trPr>
          <w:trHeight w:val="556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B3B7" w14:textId="4BBAFBC3" w:rsidR="007F3E37" w:rsidRDefault="007F3E37" w:rsidP="00C66D4D">
            <w:pPr>
              <w:jc w:val="center"/>
            </w:pPr>
            <w:proofErr w:type="spellStart"/>
            <w:r w:rsidRPr="00DE3D67">
              <w:t>Petal.Width</w:t>
            </w:r>
            <w:proofErr w:type="spellEnd"/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74D2B" w14:textId="77E8B65A" w:rsidR="007F3E37" w:rsidRDefault="007F3E37" w:rsidP="00C66D4D">
            <w:pPr>
              <w:jc w:val="center"/>
            </w:pPr>
            <w:r>
              <w:t>Width of Petal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54B8" w14:textId="14C73EB4" w:rsidR="007F3E37" w:rsidRDefault="007F3E37" w:rsidP="00C66D4D">
            <w:pPr>
              <w:jc w:val="center"/>
            </w:pPr>
            <w:proofErr w:type="spellStart"/>
            <w:r>
              <w:t>Quantitative,Continuous</w:t>
            </w:r>
            <w:proofErr w:type="spellEnd"/>
            <w:r>
              <w:t>, Ratio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F87A" w14:textId="77777777" w:rsidR="007F3E37" w:rsidRDefault="007F3E37" w:rsidP="00C66D4D">
            <w:pPr>
              <w:jc w:val="center"/>
            </w:pPr>
            <w:r>
              <w:t>Relevant</w:t>
            </w:r>
          </w:p>
        </w:tc>
      </w:tr>
      <w:tr w:rsidR="007F3E37" w14:paraId="11FB1209" w14:textId="77777777" w:rsidTr="00237474">
        <w:trPr>
          <w:trHeight w:val="558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B03" w14:textId="5D8D1E36" w:rsidR="007F3E37" w:rsidRDefault="007F3E37" w:rsidP="00C66D4D">
            <w:pPr>
              <w:jc w:val="center"/>
            </w:pPr>
            <w:r w:rsidRPr="00DE3D67">
              <w:t>Species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6BBD" w14:textId="7B57F01D" w:rsidR="007F3E37" w:rsidRDefault="007F3E37" w:rsidP="00C66D4D">
            <w:pPr>
              <w:jc w:val="center"/>
            </w:pPr>
            <w:r>
              <w:t>Species Name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0FD9" w14:textId="4556249C" w:rsidR="007F3E37" w:rsidRDefault="007F3E37" w:rsidP="007F3E37">
            <w:pPr>
              <w:jc w:val="center"/>
            </w:pPr>
            <w:proofErr w:type="spellStart"/>
            <w:r>
              <w:t>Quanlitative,Discrete</w:t>
            </w:r>
            <w:proofErr w:type="spellEnd"/>
            <w:r>
              <w:t>, Nominal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8B7AC" w14:textId="77777777" w:rsidR="007F3E37" w:rsidRDefault="007F3E37" w:rsidP="00C66D4D">
            <w:pPr>
              <w:jc w:val="center"/>
            </w:pPr>
            <w:r>
              <w:t>Relevant</w:t>
            </w:r>
          </w:p>
        </w:tc>
      </w:tr>
    </w:tbl>
    <w:p w14:paraId="3C4C43BA" w14:textId="77777777" w:rsidR="00237474" w:rsidRDefault="00237474" w:rsidP="00237474">
      <w:pPr>
        <w:rPr>
          <w:b/>
        </w:rPr>
      </w:pPr>
    </w:p>
    <w:p w14:paraId="0A4AB1EA" w14:textId="77777777" w:rsidR="00237474" w:rsidRDefault="00237474" w:rsidP="00237474">
      <w:pPr>
        <w:rPr>
          <w:b/>
        </w:rPr>
      </w:pPr>
      <w:bookmarkStart w:id="1" w:name="_GoBack"/>
      <w:bookmarkEnd w:id="1"/>
      <w:r>
        <w:rPr>
          <w:b/>
        </w:rPr>
        <w:t>DATA UNDERSTANDING:</w:t>
      </w:r>
    </w:p>
    <w:p w14:paraId="6E9825A3" w14:textId="77777777" w:rsidR="00237474" w:rsidRDefault="00237474" w:rsidP="00237474">
      <w:pPr>
        <w:numPr>
          <w:ilvl w:val="0"/>
          <w:numId w:val="5"/>
        </w:numPr>
        <w:spacing w:after="0" w:line="256" w:lineRule="auto"/>
      </w:pPr>
      <w:r>
        <w:rPr>
          <w:color w:val="000000"/>
        </w:rPr>
        <w:t>There are no missing values in the dataset.</w:t>
      </w:r>
    </w:p>
    <w:p w14:paraId="5DE8D0EE" w14:textId="77777777" w:rsidR="00237474" w:rsidRDefault="00237474" w:rsidP="00237474">
      <w:pPr>
        <w:numPr>
          <w:ilvl w:val="0"/>
          <w:numId w:val="5"/>
        </w:numPr>
        <w:spacing w:line="256" w:lineRule="auto"/>
      </w:pPr>
      <w:r>
        <w:rPr>
          <w:color w:val="000000"/>
        </w:rPr>
        <w:t>The data is continuous(float)  in nature except Species(String)</w:t>
      </w:r>
    </w:p>
    <w:p w14:paraId="47A417E5" w14:textId="77777777" w:rsidR="00237474" w:rsidRDefault="00237474" w:rsidP="00237474">
      <w:pPr>
        <w:ind w:left="30"/>
        <w:rPr>
          <w:b/>
        </w:rPr>
      </w:pPr>
      <w:r>
        <w:rPr>
          <w:b/>
        </w:rPr>
        <w:t xml:space="preserve">INSIGHTS FROM THE DATA:  </w:t>
      </w:r>
    </w:p>
    <w:p w14:paraId="7D35996F" w14:textId="77777777" w:rsidR="00237474" w:rsidRDefault="00237474" w:rsidP="00237474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 xml:space="preserve">We have </w:t>
      </w:r>
      <w:r>
        <w:t>plotted a distribution</w:t>
      </w:r>
      <w:r>
        <w:rPr>
          <w:color w:val="000000"/>
        </w:rPr>
        <w:t xml:space="preserve"> plot with the continuous numerical value but didn’t have a standard visualization.</w:t>
      </w:r>
    </w:p>
    <w:p w14:paraId="0C4C3116" w14:textId="77777777" w:rsidR="00237474" w:rsidRDefault="00237474" w:rsidP="00237474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>Then the numerical data is converted to discretized bins.</w:t>
      </w:r>
    </w:p>
    <w:p w14:paraId="6203D2E9" w14:textId="77777777" w:rsidR="00237474" w:rsidRDefault="00237474" w:rsidP="00237474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>We plotted the discretized data distribution plot and we got a standard visualization plot.</w:t>
      </w:r>
    </w:p>
    <w:p w14:paraId="47BF1E25" w14:textId="77777777" w:rsidR="00237474" w:rsidRDefault="00237474" w:rsidP="00237474">
      <w:pPr>
        <w:numPr>
          <w:ilvl w:val="0"/>
          <w:numId w:val="6"/>
        </w:numPr>
        <w:spacing w:after="0" w:line="256" w:lineRule="auto"/>
      </w:pPr>
      <w:r>
        <w:rPr>
          <w:color w:val="000000"/>
        </w:rPr>
        <w:t xml:space="preserve">We can also discretize the data by converting into bins by cut or </w:t>
      </w:r>
      <w:proofErr w:type="spellStart"/>
      <w:r>
        <w:rPr>
          <w:color w:val="000000"/>
        </w:rPr>
        <w:t>qcut</w:t>
      </w:r>
      <w:proofErr w:type="spellEnd"/>
      <w:r>
        <w:rPr>
          <w:color w:val="000000"/>
        </w:rPr>
        <w:t xml:space="preserve"> method. </w:t>
      </w:r>
    </w:p>
    <w:p w14:paraId="09F441B1" w14:textId="77777777" w:rsidR="00237474" w:rsidRDefault="00237474" w:rsidP="00237474">
      <w:pPr>
        <w:numPr>
          <w:ilvl w:val="0"/>
          <w:numId w:val="6"/>
        </w:numPr>
        <w:spacing w:line="256" w:lineRule="auto"/>
      </w:pPr>
      <w:r>
        <w:rPr>
          <w:color w:val="000000"/>
        </w:rPr>
        <w:t xml:space="preserve">We have </w:t>
      </w:r>
      <w:r>
        <w:t xml:space="preserve">used the </w:t>
      </w:r>
      <w:proofErr w:type="spellStart"/>
      <w:r>
        <w:t>pd.cut</w:t>
      </w:r>
      <w:proofErr w:type="spellEnd"/>
      <w:r>
        <w:rPr>
          <w:color w:val="000000"/>
        </w:rPr>
        <w:t xml:space="preserve"> method and discretize the data into 3 bins.</w:t>
      </w:r>
    </w:p>
    <w:p w14:paraId="7A88EB61" w14:textId="77777777" w:rsidR="00237474" w:rsidRDefault="00237474" w:rsidP="00237474">
      <w:pPr>
        <w:ind w:left="30"/>
      </w:pPr>
    </w:p>
    <w:p w14:paraId="71BADE66" w14:textId="77777777" w:rsidR="00237474" w:rsidRDefault="00237474" w:rsidP="00237474">
      <w:pPr>
        <w:spacing w:after="0"/>
        <w:ind w:left="30"/>
        <w:rPr>
          <w:color w:val="292929"/>
          <w:sz w:val="36"/>
          <w:szCs w:val="36"/>
          <w:highlight w:val="white"/>
        </w:rPr>
      </w:pPr>
      <w:r>
        <w:rPr>
          <w:sz w:val="28"/>
          <w:szCs w:val="28"/>
        </w:rPr>
        <w:t>Inferences: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highlight w:val="white"/>
        </w:rPr>
        <w:t xml:space="preserve">Binning the data can be a very useful strategy while dealing with numeric data to understand certain trends. Sometimes, we may need an age range, not the exact age, a profit margin not profit, a grade not a score. The Binning of data is very helpful to address those. </w:t>
      </w:r>
      <w:proofErr w:type="gramStart"/>
      <w:r>
        <w:rPr>
          <w:color w:val="000000"/>
          <w:highlight w:val="white"/>
        </w:rPr>
        <w:t>Pandas</w:t>
      </w:r>
      <w:proofErr w:type="gramEnd"/>
      <w:r>
        <w:rPr>
          <w:color w:val="000000"/>
          <w:highlight w:val="white"/>
        </w:rPr>
        <w:t xml:space="preserve"> library has two useful functions </w:t>
      </w:r>
      <w:hyperlink r:id="rId10" w:history="1">
        <w:r>
          <w:rPr>
            <w:rStyle w:val="Hyperlink"/>
            <w:color w:val="000000"/>
            <w:highlight w:val="white"/>
          </w:rPr>
          <w:t>cut</w:t>
        </w:r>
      </w:hyperlink>
      <w:r>
        <w:rPr>
          <w:color w:val="000000"/>
          <w:highlight w:val="white"/>
        </w:rPr>
        <w:t> and </w:t>
      </w:r>
      <w:proofErr w:type="spellStart"/>
      <w:r>
        <w:fldChar w:fldCharType="begin"/>
      </w:r>
      <w:r>
        <w:instrText xml:space="preserve"> HYPERLINK "https://pandas.pydata.org/pandas-docs/stable/reference/api/pandas.qcut.html" </w:instrText>
      </w:r>
      <w:r>
        <w:fldChar w:fldCharType="separate"/>
      </w:r>
      <w:r>
        <w:rPr>
          <w:rStyle w:val="Hyperlink"/>
          <w:color w:val="000000"/>
          <w:highlight w:val="white"/>
        </w:rPr>
        <w:t>qcut</w:t>
      </w:r>
      <w:proofErr w:type="spellEnd"/>
      <w:r>
        <w:fldChar w:fldCharType="end"/>
      </w:r>
      <w:r>
        <w:rPr>
          <w:color w:val="000000"/>
          <w:highlight w:val="white"/>
        </w:rPr>
        <w:t> for data binding.</w:t>
      </w:r>
      <w:r>
        <w:rPr>
          <w:color w:val="292929"/>
          <w:sz w:val="36"/>
          <w:szCs w:val="36"/>
          <w:highlight w:val="white"/>
        </w:rPr>
        <w:t> </w:t>
      </w:r>
    </w:p>
    <w:p w14:paraId="28F2DA21" w14:textId="77777777" w:rsidR="00237474" w:rsidRDefault="00237474" w:rsidP="00237474">
      <w:pPr>
        <w:shd w:val="clear" w:color="auto" w:fill="FFFFFF"/>
        <w:spacing w:after="288" w:line="240" w:lineRule="auto"/>
        <w:rPr>
          <w:color w:val="000000"/>
        </w:rPr>
      </w:pPr>
      <w:r>
        <w:rPr>
          <w:color w:val="000000"/>
        </w:rPr>
        <w:t>The discretization transform provides an automatic way to change a numeric input variable to have a different data distribution, which in turn can be used as input to a predictive model.</w:t>
      </w:r>
    </w:p>
    <w:p w14:paraId="07A6ED32" w14:textId="77777777" w:rsidR="00237474" w:rsidRDefault="00237474" w:rsidP="00237474">
      <w:pPr>
        <w:spacing w:after="0"/>
        <w:ind w:left="30"/>
      </w:pPr>
    </w:p>
    <w:p w14:paraId="29E65C66" w14:textId="77777777" w:rsidR="00237474" w:rsidRDefault="00237474" w:rsidP="00237474">
      <w:pPr>
        <w:spacing w:after="0"/>
        <w:rPr>
          <w:b/>
          <w:sz w:val="32"/>
          <w:szCs w:val="32"/>
        </w:rPr>
      </w:pPr>
    </w:p>
    <w:p w14:paraId="0573889B" w14:textId="77777777" w:rsidR="00237474" w:rsidRDefault="00237474" w:rsidP="00237474"/>
    <w:p w14:paraId="09817628" w14:textId="77777777" w:rsidR="005A65A8" w:rsidRDefault="005A65A8" w:rsidP="00F0666C">
      <w:pPr>
        <w:rPr>
          <w:b/>
          <w:color w:val="FF0000"/>
          <w:sz w:val="32"/>
        </w:rPr>
      </w:pPr>
    </w:p>
    <w:p w14:paraId="0D31CA98" w14:textId="77777777" w:rsidR="00165420" w:rsidRDefault="00165420" w:rsidP="00165420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Hints:</w:t>
      </w:r>
    </w:p>
    <w:p w14:paraId="4A35DC05" w14:textId="77777777" w:rsidR="00165420" w:rsidRDefault="00165420" w:rsidP="00165420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0F468B81" w14:textId="77777777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Work on each feature to create a data dictionary as displayed in the image displayed below:</w:t>
      </w:r>
      <w:r>
        <w:rPr>
          <w:noProof/>
          <w:sz w:val="24"/>
          <w:szCs w:val="24"/>
        </w:rPr>
        <w:drawing>
          <wp:inline distT="114300" distB="114300" distL="114300" distR="114300" wp14:anchorId="5322460C" wp14:editId="64E62AAD">
            <wp:extent cx="5943600" cy="8636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577DB" w14:textId="1B7BB08D" w:rsidR="00E103CE" w:rsidRDefault="000C3D7D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Hint: </w:t>
      </w:r>
      <w:r w:rsidR="00E103CE">
        <w:rPr>
          <w:sz w:val="24"/>
          <w:szCs w:val="24"/>
        </w:rPr>
        <w:t xml:space="preserve">Refer to </w:t>
      </w:r>
      <w:r w:rsidR="00DE3D67">
        <w:rPr>
          <w:sz w:val="24"/>
          <w:szCs w:val="24"/>
        </w:rPr>
        <w:t>Iris</w:t>
      </w:r>
      <w:r w:rsidR="00DC3827">
        <w:rPr>
          <w:sz w:val="24"/>
          <w:szCs w:val="24"/>
        </w:rPr>
        <w:t>.csv</w:t>
      </w:r>
      <w:r w:rsidR="00DE3D67">
        <w:rPr>
          <w:sz w:val="24"/>
          <w:szCs w:val="24"/>
        </w:rPr>
        <w:t>, which is a public dataset.</w:t>
      </w:r>
    </w:p>
    <w:p w14:paraId="2062859E" w14:textId="66B42893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7EACC940" w14:textId="63C444A7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45B187B2" w14:textId="7B8AA536" w:rsidR="00165420" w:rsidRDefault="00165420" w:rsidP="00165420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46AFA3C9" w14:textId="10F11410" w:rsidR="00165420" w:rsidRDefault="00165420" w:rsidP="0016542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Each line of code should have comments explaining the logic and why you are using that function</w:t>
      </w:r>
    </w:p>
    <w:p w14:paraId="5B2B33FA" w14:textId="77777777" w:rsidR="00797ED5" w:rsidRPr="00797ED5" w:rsidRDefault="00797ED5" w:rsidP="00797ED5"/>
    <w:sectPr w:rsidR="00797ED5" w:rsidRPr="00797ED5" w:rsidSect="001A3F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02D6F5" w14:textId="77777777" w:rsidR="005F73DD" w:rsidRDefault="005F73DD" w:rsidP="00C150F7">
      <w:pPr>
        <w:spacing w:after="0" w:line="240" w:lineRule="auto"/>
      </w:pPr>
      <w:r>
        <w:separator/>
      </w:r>
    </w:p>
  </w:endnote>
  <w:endnote w:type="continuationSeparator" w:id="0">
    <w:p w14:paraId="7C6A07E5" w14:textId="77777777" w:rsidR="005F73DD" w:rsidRDefault="005F73DD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87EF8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84A57" w14:textId="0BFCDB6C" w:rsidR="00C150F7" w:rsidRDefault="007F3E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3DB51" wp14:editId="6551BE42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BA2E18" w14:textId="77777777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gramStart"/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</w:t>
                          </w:r>
                          <w:proofErr w:type="gramEnd"/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" filled="f" stroked="f">
              <v:path arrowok="t"/>
              <v:textbox>
                <w:txbxContent>
                  <w:p w14:paraId="6EBA2E18" w14:textId="77777777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proofErr w:type="gramStart"/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</w:t>
                    </w:r>
                    <w:proofErr w:type="gramEnd"/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9B537F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6A736D" w14:textId="77777777" w:rsidR="005F73DD" w:rsidRDefault="005F73DD" w:rsidP="00C150F7">
      <w:pPr>
        <w:spacing w:after="0" w:line="240" w:lineRule="auto"/>
      </w:pPr>
      <w:r>
        <w:separator/>
      </w:r>
    </w:p>
  </w:footnote>
  <w:footnote w:type="continuationSeparator" w:id="0">
    <w:p w14:paraId="77CDF11D" w14:textId="77777777" w:rsidR="005F73DD" w:rsidRDefault="005F73DD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DD85A" w14:textId="77777777" w:rsidR="00D2016A" w:rsidRDefault="005F73DD">
    <w:pPr>
      <w:pStyle w:val="Header"/>
    </w:pPr>
    <w:r>
      <w:rPr>
        <w:noProof/>
      </w:rPr>
      <w:pict w14:anchorId="6AA875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188DA" w14:textId="77777777" w:rsidR="00C150F7" w:rsidRDefault="005F73DD" w:rsidP="00C150F7">
    <w:pPr>
      <w:pStyle w:val="Header"/>
    </w:pPr>
    <w:r>
      <w:rPr>
        <w:noProof/>
      </w:rPr>
      <w:pict w14:anchorId="5BA8A6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700A1CB4" wp14:editId="4EFC090B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D1CFD" w14:textId="77777777" w:rsidR="00D2016A" w:rsidRDefault="005F73DD">
    <w:pPr>
      <w:pStyle w:val="Header"/>
    </w:pPr>
    <w:r>
      <w:rPr>
        <w:noProof/>
      </w:rPr>
      <w:pict w14:anchorId="673170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4325"/>
    <w:multiLevelType w:val="multilevel"/>
    <w:tmpl w:val="6454761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4143D"/>
    <w:multiLevelType w:val="multilevel"/>
    <w:tmpl w:val="29727656"/>
    <w:lvl w:ilvl="0">
      <w:start w:val="1"/>
      <w:numFmt w:val="decimal"/>
      <w:lvlText w:val="%1."/>
      <w:lvlJc w:val="left"/>
      <w:pPr>
        <w:ind w:left="390" w:hanging="360"/>
      </w:p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461C666D"/>
    <w:multiLevelType w:val="hybridMultilevel"/>
    <w:tmpl w:val="93EC6C6C"/>
    <w:lvl w:ilvl="0" w:tplc="6088AB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A2614"/>
    <w:multiLevelType w:val="multilevel"/>
    <w:tmpl w:val="F3605736"/>
    <w:lvl w:ilvl="0">
      <w:start w:val="1"/>
      <w:numFmt w:val="decimal"/>
      <w:lvlText w:val="%1."/>
      <w:lvlJc w:val="left"/>
      <w:pPr>
        <w:ind w:left="390" w:hanging="360"/>
      </w:p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7A0B4D14"/>
    <w:multiLevelType w:val="hybridMultilevel"/>
    <w:tmpl w:val="7A58E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744F65"/>
    <w:multiLevelType w:val="multilevel"/>
    <w:tmpl w:val="D9E6F8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44"/>
    <w:rsid w:val="000C3D7D"/>
    <w:rsid w:val="000C70B8"/>
    <w:rsid w:val="000D33AA"/>
    <w:rsid w:val="00165420"/>
    <w:rsid w:val="00197DFA"/>
    <w:rsid w:val="001A3F39"/>
    <w:rsid w:val="00201977"/>
    <w:rsid w:val="00207B5D"/>
    <w:rsid w:val="00237474"/>
    <w:rsid w:val="00264047"/>
    <w:rsid w:val="002C7272"/>
    <w:rsid w:val="002E0351"/>
    <w:rsid w:val="0031763B"/>
    <w:rsid w:val="00360CC2"/>
    <w:rsid w:val="003E4ABB"/>
    <w:rsid w:val="003F292D"/>
    <w:rsid w:val="004243E7"/>
    <w:rsid w:val="004B0481"/>
    <w:rsid w:val="004B2263"/>
    <w:rsid w:val="00513710"/>
    <w:rsid w:val="00547332"/>
    <w:rsid w:val="0056552C"/>
    <w:rsid w:val="005A65A8"/>
    <w:rsid w:val="005F6585"/>
    <w:rsid w:val="005F73DD"/>
    <w:rsid w:val="00631204"/>
    <w:rsid w:val="006E4A5A"/>
    <w:rsid w:val="007442B4"/>
    <w:rsid w:val="00783902"/>
    <w:rsid w:val="00797ED5"/>
    <w:rsid w:val="007D10F4"/>
    <w:rsid w:val="007F3E37"/>
    <w:rsid w:val="008438A7"/>
    <w:rsid w:val="0086286D"/>
    <w:rsid w:val="008D05F7"/>
    <w:rsid w:val="008D6819"/>
    <w:rsid w:val="008E3114"/>
    <w:rsid w:val="00914101"/>
    <w:rsid w:val="00972FE6"/>
    <w:rsid w:val="00A13079"/>
    <w:rsid w:val="00A144DE"/>
    <w:rsid w:val="00A62E44"/>
    <w:rsid w:val="00A72694"/>
    <w:rsid w:val="00A76126"/>
    <w:rsid w:val="00B031E3"/>
    <w:rsid w:val="00B36EA5"/>
    <w:rsid w:val="00B5452D"/>
    <w:rsid w:val="00C150F7"/>
    <w:rsid w:val="00D2016A"/>
    <w:rsid w:val="00D45933"/>
    <w:rsid w:val="00D61218"/>
    <w:rsid w:val="00DC3827"/>
    <w:rsid w:val="00DC7D50"/>
    <w:rsid w:val="00DE3D67"/>
    <w:rsid w:val="00E103CE"/>
    <w:rsid w:val="00E44DF9"/>
    <w:rsid w:val="00E60542"/>
    <w:rsid w:val="00E711F1"/>
    <w:rsid w:val="00EA2414"/>
    <w:rsid w:val="00F0666C"/>
    <w:rsid w:val="00F10B3B"/>
    <w:rsid w:val="00F25D6B"/>
    <w:rsid w:val="00F47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8112F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NormalWeb">
    <w:name w:val="Normal (Web)"/>
    <w:rsid w:val="00DC3827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23747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79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D5"/>
    <w:rPr>
      <w:rFonts w:ascii="Tahoma" w:hAnsi="Tahoma" w:cs="Tahoma"/>
      <w:sz w:val="16"/>
      <w:szCs w:val="16"/>
    </w:rPr>
  </w:style>
  <w:style w:type="paragraph" w:styleId="NormalWeb">
    <w:name w:val="Normal (Web)"/>
    <w:rsid w:val="00DC3827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2374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pandas.pydata.org/pandas-docs/stable/reference/api/pandas.cut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DDA41-1656-4B08-8B37-65BF43B0D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Dev Mohanty</cp:lastModifiedBy>
  <cp:revision>4</cp:revision>
  <cp:lastPrinted>2020-05-09T13:13:00Z</cp:lastPrinted>
  <dcterms:created xsi:type="dcterms:W3CDTF">2021-03-07T12:01:00Z</dcterms:created>
  <dcterms:modified xsi:type="dcterms:W3CDTF">2022-02-12T09:04:00Z</dcterms:modified>
</cp:coreProperties>
</file>