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4"/>
        </w:rPr>
        <w:t>Enterprise Operations &amp; Employee Policy Handbook</w:t>
      </w:r>
    </w:p>
    <w:p>
      <w:pPr>
        <w:jc w:val="center"/>
      </w:pPr>
      <w:r>
        <w:rPr>
          <w:i/>
          <w:color w:val="5A6978"/>
          <w:sz w:val="24"/>
        </w:rPr>
        <w:t>Synthetic knowledge-base document for demonstrating enterprise search and grounded Q&amp;A</w:t>
      </w:r>
    </w:p>
    <w:p>
      <w:pPr>
        <w:spacing w:before="400"/>
        <w:jc w:val="center"/>
      </w:pPr>
      <w:r>
        <w:rPr>
          <w:color w:val="244C72"/>
          <w:sz w:val="26"/>
        </w:rPr>
        <w:t>━━━━━━━━━━━━━━━━━━━━━━━━━━━━━━━━━━━━</w:t>
      </w:r>
    </w:p>
    <w:p>
      <w:pPr>
        <w:spacing w:before="440"/>
        <w:ind w:left="504" w:right="504"/>
      </w:pPr>
      <w:r>
        <w:rPr>
          <w:b/>
          <w:color w:val="AD4C1B"/>
        </w:rPr>
        <w:t xml:space="preserve">DEMO NOTICE  </w:t>
      </w:r>
      <w:r>
        <w:t>This is a fictional policy handbook for testing an AI knowledge assistant. It is not an actual company policy and must not be used to make real HR, financial, or security decisions.</w:t>
      </w:r>
    </w:p>
    <w:p>
      <w:pPr>
        <w:spacing w:before="600"/>
        <w:jc w:val="center"/>
      </w:pPr>
      <w:r>
        <w:rPr>
          <w:color w:val="5A6978"/>
          <w:sz w:val="20"/>
        </w:rPr>
        <w:t>Designed for document ingestion, source citation, answer validation, and human-review demonstrations</w:t>
      </w:r>
    </w:p>
    <w:p>
      <w:r>
        <w:br w:type="page"/>
      </w:r>
    </w:p>
    <w:p>
      <w:pPr>
        <w:pStyle w:val="Heading1"/>
      </w:pPr>
      <w:r>
        <w:t>1. Purpose and scope</w:t>
      </w:r>
    </w:p>
    <w:p>
      <w:pPr>
        <w:keepLines/>
      </w:pPr>
      <w:r>
        <w:t>This handbook describes example workplace procedures for Northstar Enterprise Services. Northstar is a fictional organization created for software demonstrations. These rules are illustrative and are not the policies of any real employer.</w:t>
      </w:r>
    </w:p>
    <w:p>
      <w:pPr>
        <w:keepLines/>
      </w:pPr>
      <w:r>
        <w:t>The handbook covers expense claims, business travel, remote work, learning purchases, information handling, IT change management, and security incident reporting. When a question cannot be answered from this handbook, the knowledge assistant should say that the available document does not provide the answer rather than inventing a rule.</w:t>
      </w:r>
    </w:p>
    <w:p>
      <w:pPr>
        <w:pStyle w:val="Heading1"/>
      </w:pPr>
      <w:r>
        <w:t>2. Expenses and reimbursement</w:t>
      </w:r>
    </w:p>
    <w:p>
      <w:pPr>
        <w:keepLines/>
      </w:pPr>
      <w:r>
        <w:t>Employees must submit expense claims through the company expense portal. Each claim must include the business purpose, expense date, amount, currency, cost centre, and itemized receipt where a receipt is available.</w:t>
      </w:r>
    </w:p>
    <w:p>
      <w:pPr>
        <w:keepLines/>
      </w:pPr>
      <w:r>
        <w:t>Expense claims must be submitted within 10 calendar days after the expense date. The Finance Operations team reviews complete claims and aims to reimburse approved claims within 15 business days.</w:t>
      </w:r>
    </w:p>
    <w:p>
      <w:pPr>
        <w:keepLines/>
      </w:pPr>
      <w:r>
        <w:t>The standard meal expense limit is INR 1,200 per employee per day while travelling on approved business. Alcohol, personal entertainment, traffic fines, and expenses for family members are not reimbursable.</w:t>
      </w:r>
    </w:p>
    <w:p>
      <w:pPr>
        <w:keepLines/>
      </w:pPr>
      <w:r>
        <w:t>Any exception to a stated expense limit must be approved in writing by the employee’s manager before the cost is incurred. If an emergency makes advance approval impractical, the employee must document the reason and obtain written manager approval as soon as practicable after the event.</w:t>
      </w:r>
    </w:p>
    <w:p>
      <w:pPr>
        <w:keepLines/>
      </w:pPr>
      <w:r>
        <w:t>Missing receipts must be explained in the expense portal. Finance may return incomplete claims for correction. Employees must not divide a purchase into smaller claims to avoid an approval threshold.</w:t>
      </w:r>
    </w:p>
    <w:p>
      <w:pPr>
        <w:pStyle w:val="Heading1"/>
      </w:pPr>
      <w:r>
        <w:t>3. Business travel and learning purchases</w:t>
      </w:r>
    </w:p>
    <w:p>
      <w:pPr>
        <w:keepLines/>
      </w:pPr>
      <w:r>
        <w:t>Business travel must be approved by the employee’s manager before any ticket, hotel, or other travel booking is made. The request must state the business purpose, destination, proposed dates, and estimated cost.</w:t>
      </w:r>
    </w:p>
    <w:p>
      <w:pPr>
        <w:keepLines/>
      </w:pPr>
      <w:r>
        <w:t>Employees should use the approved travel booking channel and select reasonable, cost-effective options. A material change to an approved itinerary or budget requires manager approval before the change is booked, where practicable.</w:t>
      </w:r>
    </w:p>
    <w:p>
      <w:pPr>
        <w:keepLines/>
      </w:pPr>
      <w:r>
        <w:t>A paid course, professional certification, or training subscription must be approved by the employee’s manager before purchase. The request must include the learning objective, provider, total cost, and expected completion date. Reimbursement is not guaranteed for a purchase made without prior approval.</w:t>
      </w:r>
    </w:p>
    <w:p>
      <w:pPr>
        <w:pStyle w:val="Heading1"/>
      </w:pPr>
      <w:r>
        <w:t>4. Remote work and availability</w:t>
      </w:r>
    </w:p>
    <w:p>
      <w:pPr>
        <w:keepLines/>
      </w:pPr>
      <w:r>
        <w:t>An employee who wants to work remotely must request approval from their manager before the arrangement begins. Approval must be recorded in the team’s agreed system, such as the work-planning portal or an approved written record.</w:t>
      </w:r>
    </w:p>
    <w:p>
      <w:pPr>
        <w:keepLines/>
      </w:pPr>
      <w:r>
        <w:t>The default arrangement permits up to two remote-working days per week, subject to manager approval. Role requirements, team coverage, client commitments, security requirements, and applicable company policy take precedence over the default.</w:t>
      </w:r>
    </w:p>
    <w:p>
      <w:pPr>
        <w:keepLines/>
      </w:pPr>
      <w:r>
        <w:t>Employees must remain reachable during their agreed working hours, attend required meetings, protect company equipment, and report any change that affects their availability. Remote work is not approval to work from another country or an unapproved location.</w:t>
      </w:r>
    </w:p>
    <w:p>
      <w:pPr>
        <w:pStyle w:val="Heading1"/>
      </w:pPr>
      <w:r>
        <w:t>5. Information classification and secure handling</w:t>
      </w:r>
    </w:p>
    <w:p>
      <w:pPr>
        <w:keepLines/>
      </w:pPr>
      <w:r>
        <w:t>Public information is approved for external distribution. Internal information is for normal business use and must not be published externally without authorization. Confidential information includes non-public business plans, employee records, customer information, and internal financial information. Restricted information includes credentials, security secrets, and highly sensitive personal or regulated information.</w:t>
      </w:r>
    </w:p>
    <w:p>
      <w:pPr>
        <w:keepLines/>
      </w:pPr>
      <w:r>
        <w:t>Confidential information may only be shared with people who have a legitimate business need and are authorized to receive it. Restricted information requires an explicitly approved access method and must never be sent through personal email or an unapproved file-sharing service.</w:t>
      </w:r>
    </w:p>
    <w:p>
      <w:pPr>
        <w:keepLines/>
      </w:pPr>
      <w:r>
        <w:t>Employees must access company information using approved devices and company-approved secure connections. They must not place company files in personal cloud storage, share passwords, or paste sensitive information into unapproved external AI tools.</w:t>
      </w:r>
    </w:p>
    <w:p>
      <w:pPr>
        <w:keepLines/>
      </w:pPr>
      <w:r>
        <w:t>When sending a sensitive file, verify the recipient, use the approved company sharing method, and apply access restrictions. Remove access when it is no longer needed. Report accidental disclosure promptly through the security incident process.</w:t>
      </w:r>
    </w:p>
    <w:p>
      <w:pPr>
        <w:pStyle w:val="Heading1"/>
      </w:pPr>
      <w:r>
        <w:t>6. IT change management</w:t>
      </w:r>
    </w:p>
    <w:p>
      <w:pPr>
        <w:keepLines/>
      </w:pPr>
      <w:r>
        <w:t>A normal production change requires a change record, impact assessment, test evidence, implementation plan, rollback plan, and approval from the designated change approver before implementation. Submit normal changes at least two business days before the proposed implementation time.</w:t>
      </w:r>
    </w:p>
    <w:p>
      <w:pPr>
        <w:keepLines/>
      </w:pPr>
      <w:r>
        <w:t>The change record must identify the service affected, expected user impact, risk level, implementation owner, validation steps, and rollback trigger. The implementation owner must record the outcome and any issues after the change.</w:t>
      </w:r>
    </w:p>
    <w:p>
      <w:pPr>
        <w:keepLines/>
      </w:pPr>
      <w:r>
        <w:t>An emergency production change is allowed only to address an active or imminent serious incident, security exposure, or major service outage where waiting for the normal process would materially increase risk. The on-call incident manager must approve the emergency change before implementation when practicable.</w:t>
      </w:r>
    </w:p>
    <w:p>
      <w:pPr>
        <w:keepLines/>
      </w:pPr>
      <w:r>
        <w:t>For an emergency change, the owner must preserve the reason for urgency, approval, actions taken, and validation results. A retrospective review must be completed within one business day after implementation. Emergency status must not be used to bypass normal planning for routine work.</w:t>
      </w:r>
    </w:p>
    <w:p>
      <w:pPr>
        <w:pStyle w:val="Heading1"/>
      </w:pPr>
      <w:r>
        <w:t>7. Security incident reporting</w:t>
      </w:r>
    </w:p>
    <w:p>
      <w:pPr>
        <w:keepLines/>
      </w:pPr>
      <w:r>
        <w:t>Employees must report suspected phishing, lost devices, accidental data disclosure, malware, unauthorized access, or exposure of credentials to the Service Desk or Security Operations contact within 30 minutes of discovery whenever practicable.</w:t>
      </w:r>
    </w:p>
    <w:p>
      <w:pPr>
        <w:keepLines/>
      </w:pPr>
      <w:r>
        <w:t>Include the time discovered, affected device or system, a description of what happened, and any immediate actions already taken. Do not include passwords or active access tokens in the report.</w:t>
      </w:r>
    </w:p>
    <w:p>
      <w:pPr>
        <w:keepLines/>
      </w:pPr>
      <w:r>
        <w:t>Do not delete suspicious emails, logs, or files that may be needed for investigation. Disconnect an affected device from the network only when it is safe and consistent with the incident response instructions. Follow instructions from Security Operations and do not investigate beyond your authorization.</w:t>
      </w:r>
    </w:p>
    <w:p>
      <w:pPr>
        <w:pStyle w:val="Heading1"/>
      </w:pPr>
      <w:r>
        <w:t>8. Records and retention</w:t>
      </w:r>
    </w:p>
    <w:p>
      <w:pPr>
        <w:keepLines/>
      </w:pPr>
      <w:r>
        <w:t>Expense records and supporting receipts must be retained in the approved expense system for seven years after the end of the relevant financial year, unless a legal hold or applicable legal requirement specifies otherwise.</w:t>
      </w:r>
    </w:p>
    <w:p>
      <w:pPr>
        <w:keepLines/>
      </w:pPr>
      <w:r>
        <w:t>IT change records and emergency change retrospectives must be retained in the approved change-management system for three years after closure.</w:t>
      </w:r>
    </w:p>
    <w:p>
      <w:pPr>
        <w:keepLines/>
      </w:pPr>
      <w:r>
        <w:t>Security incident records must be retained in the approved incident-management system according to the security retention schedule. This handbook does not specify a fixed retention period for security incident records.</w:t>
      </w:r>
    </w:p>
    <w:p>
      <w:pPr>
        <w:keepLines/>
      </w:pPr>
      <w:r>
        <w:t>Employees must not independently delete official records to shorten a retention period. Questions about a retention exception should be directed to the Records Management team.</w:t>
      </w:r>
    </w:p>
    <w:p>
      <w:pPr>
        <w:pStyle w:val="Heading1"/>
      </w:pPr>
      <w:r>
        <w:t>9. Escalation and unanswered questions</w:t>
      </w:r>
    </w:p>
    <w:p>
      <w:pPr>
        <w:keepLines/>
      </w:pPr>
      <w:r>
        <w:t>Questions about expense reimbursement should be sent to Finance Operations. Questions about travel, remote-work arrangements, or paid learning should be directed to the employee’s manager. Questions about classification or data sharing should be sent to Information Security. Production-change questions should be directed to the Change Management team. Suspected security incidents should be reported to Security Operations or the Service Desk.</w:t>
      </w:r>
    </w:p>
    <w:p>
      <w:pPr>
        <w:keepLines/>
      </w:pPr>
      <w:r>
        <w:t>This handbook does not define salary, annual leave entitlement, disciplinary procedures, vendor contract terms, or a fixed retention period for security incident records. The assistant must not infer these details from unrelated sections.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Fictional content for demonstration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6E7885"/>
        <w:sz w:val="16"/>
      </w:rPr>
      <w:t>NORTHSTAR ENTERPRISE SERVICES  |  DEMO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B34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C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Operations &amp; Employee Policy Handbook</dc:title>
  <dc:subject>Synthetic enterprise knowledge-base demo content</dc:subject>
  <dc:creator>Enterprise Knowledge Research Agent Demo</dc:creator>
  <cp:keywords>enterprise, policy, RAG, knowledge assistant, demo</cp:keywords>
  <dc:description>generated by python-docx</dc:description>
  <cp:lastModifiedBy/>
  <cp:revision>1</cp:revision>
  <dcterms:created xsi:type="dcterms:W3CDTF">2013-12-23T23:15:00Z</dcterms:created>
  <dcterms:modified xsi:type="dcterms:W3CDTF">2013-12-23T23:15:00Z</dcterms:modified>
  <cp:category/>
</cp:coreProperties>
</file>