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b/>
          <w:color w:val="13A6A6"/>
          <w:sz w:val="22"/>
        </w:rPr>
        <w:t>PRESENTATION SCRIPT</w:t>
      </w:r>
    </w:p>
    <w:p>
      <w:pPr>
        <w:pStyle w:val="Title"/>
        <w:spacing w:before="80" w:after="120"/>
      </w:pPr>
      <w:r>
        <w:t>Enterprise Knowledge</w:t>
        <w:br/>
        <w:t>Research Agent</w:t>
      </w:r>
    </w:p>
    <w:p>
      <w:pPr>
        <w:spacing w:after="280"/>
      </w:pPr>
      <w:r>
        <w:rPr>
          <w:color w:val="245B7A"/>
          <w:sz w:val="30"/>
        </w:rPr>
        <w:t>15-minute talk track • 12-slide deck • live demo cues</w:t>
      </w:r>
    </w:p>
    <w:p>
      <w:pPr>
        <w:spacing w:after="360"/>
        <w:pBdr>
          <w:bottom w:val="single" w:sz="22" w:space="1" w:color="13A6A6"/>
        </w:pBdr>
      </w:pPr>
    </w:p>
    <w:p>
      <w:r>
        <w:rPr>
          <w:b/>
          <w:color w:val="14263D"/>
          <w:sz w:val="26"/>
        </w:rPr>
        <w:t>Presentation objective</w:t>
      </w:r>
    </w:p>
    <w:p>
      <w:r>
        <w:t>Explain the business need, show how the retrieval-and-agent workflow works, prove the working prototype with a short live demo, and clearly separate what is implemented from what is required before enterprise production.</w:t>
      </w:r>
    </w:p>
    <w:p>
      <w:pPr>
        <w:pStyle w:val="Heading2"/>
      </w:pPr>
      <w:r>
        <w:t>15-minute run of show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4263D"/>
          </w:tcPr>
          <w:p>
            <w:r>
              <w:rPr>
                <w:b/>
                <w:color w:val="FFFFFF"/>
                <w:sz w:val="18"/>
              </w:rPr>
              <w:t>Time</w:t>
            </w:r>
          </w:p>
        </w:tc>
        <w:tc>
          <w:tcPr>
            <w:tcW w:type="dxa" w:w="3331"/>
            <w:shd w:fill="14263D"/>
          </w:tcPr>
          <w:p>
            <w:r>
              <w:rPr>
                <w:b/>
                <w:color w:val="FFFFFF"/>
                <w:sz w:val="18"/>
              </w:rPr>
              <w:t>Slides</w:t>
            </w:r>
          </w:p>
        </w:tc>
        <w:tc>
          <w:tcPr>
            <w:tcW w:type="dxa" w:w="3331"/>
            <w:shd w:fill="14263D"/>
          </w:tcPr>
          <w:p>
            <w:r>
              <w:rPr>
                <w:b/>
                <w:color w:val="FFFFFF"/>
                <w:sz w:val="18"/>
              </w:rPr>
              <w:t>Focus</w:t>
            </w:r>
          </w:p>
        </w:tc>
      </w:tr>
      <w:tr>
        <w:tc>
          <w:tcPr>
            <w:tcW w:type="dxa" w:w="3331"/>
            <w:tcMar>
              <w:top w:w="90" w:type="dxa"/>
              <w:start w:w="110" w:type="dxa"/>
              <w:bottom w:w="90" w:type="dxa"/>
              <w:end w:w="110" w:type="dxa"/>
            </w:tcMar>
            <w:shd w:fill="F3F6F9"/>
          </w:tcPr>
          <w:p>
            <w:r>
              <w:rPr>
                <w:sz w:val="18"/>
              </w:rPr>
              <w:t>0:00–0:45</w:t>
            </w:r>
          </w:p>
        </w:tc>
        <w:tc>
          <w:tcPr>
            <w:tcW w:type="dxa" w:w="3331"/>
            <w:tcMar>
              <w:top w:w="90" w:type="dxa"/>
              <w:start w:w="110" w:type="dxa"/>
              <w:bottom w:w="90" w:type="dxa"/>
              <w:end w:w="110" w:type="dxa"/>
            </w:tcMar>
            <w:shd w:fill="F3F6F9"/>
          </w:tcPr>
          <w:p>
            <w:r>
              <w:rPr>
                <w:sz w:val="18"/>
              </w:rPr>
              <w:t>1</w:t>
            </w:r>
          </w:p>
        </w:tc>
        <w:tc>
          <w:tcPr>
            <w:tcW w:type="dxa" w:w="3331"/>
            <w:tcMar>
              <w:top w:w="90" w:type="dxa"/>
              <w:start w:w="110" w:type="dxa"/>
              <w:bottom w:w="90" w:type="dxa"/>
              <w:end w:w="110" w:type="dxa"/>
            </w:tcMar>
            <w:shd w:fill="F3F6F9"/>
          </w:tcPr>
          <w:p>
            <w:r>
              <w:rPr>
                <w:sz w:val="18"/>
              </w:rPr>
              <w:t>Opening</w:t>
            </w:r>
          </w:p>
        </w:tc>
      </w:tr>
      <w:tr>
        <w:tc>
          <w:tcPr>
            <w:tcW w:type="dxa" w:w="3331"/>
            <w:tcMar>
              <w:top w:w="90" w:type="dxa"/>
              <w:start w:w="110" w:type="dxa"/>
              <w:bottom w:w="90" w:type="dxa"/>
              <w:end w:w="110" w:type="dxa"/>
            </w:tcMar>
          </w:tcPr>
          <w:p>
            <w:r>
              <w:rPr>
                <w:sz w:val="18"/>
              </w:rPr>
              <w:t>0:45–2:55</w:t>
            </w:r>
          </w:p>
        </w:tc>
        <w:tc>
          <w:tcPr>
            <w:tcW w:type="dxa" w:w="3331"/>
            <w:tcMar>
              <w:top w:w="90" w:type="dxa"/>
              <w:start w:w="110" w:type="dxa"/>
              <w:bottom w:w="90" w:type="dxa"/>
              <w:end w:w="110" w:type="dxa"/>
            </w:tcMar>
          </w:tcPr>
          <w:p>
            <w:r>
              <w:rPr>
                <w:sz w:val="18"/>
              </w:rPr>
              <w:t>2–3</w:t>
            </w:r>
          </w:p>
        </w:tc>
        <w:tc>
          <w:tcPr>
            <w:tcW w:type="dxa" w:w="3331"/>
            <w:tcMar>
              <w:top w:w="90" w:type="dxa"/>
              <w:start w:w="110" w:type="dxa"/>
              <w:bottom w:w="90" w:type="dxa"/>
              <w:end w:w="110" w:type="dxa"/>
            </w:tcMar>
          </w:tcPr>
          <w:p>
            <w:r>
              <w:rPr>
                <w:sz w:val="18"/>
              </w:rPr>
              <w:t>Problem, solution and use case</w:t>
            </w:r>
          </w:p>
        </w:tc>
      </w:tr>
      <w:tr>
        <w:tc>
          <w:tcPr>
            <w:tcW w:type="dxa" w:w="3331"/>
            <w:tcMar>
              <w:top w:w="90" w:type="dxa"/>
              <w:start w:w="110" w:type="dxa"/>
              <w:bottom w:w="90" w:type="dxa"/>
              <w:end w:w="110" w:type="dxa"/>
            </w:tcMar>
            <w:shd w:fill="F3F6F9"/>
          </w:tcPr>
          <w:p>
            <w:r>
              <w:rPr>
                <w:sz w:val="18"/>
              </w:rPr>
              <w:t>2:55–4:00</w:t>
            </w:r>
          </w:p>
        </w:tc>
        <w:tc>
          <w:tcPr>
            <w:tcW w:type="dxa" w:w="3331"/>
            <w:tcMar>
              <w:top w:w="90" w:type="dxa"/>
              <w:start w:w="110" w:type="dxa"/>
              <w:bottom w:w="90" w:type="dxa"/>
              <w:end w:w="110" w:type="dxa"/>
            </w:tcMar>
            <w:shd w:fill="F3F6F9"/>
          </w:tcPr>
          <w:p>
            <w:r>
              <w:rPr>
                <w:sz w:val="18"/>
              </w:rPr>
              <w:t>4</w:t>
            </w:r>
          </w:p>
        </w:tc>
        <w:tc>
          <w:tcPr>
            <w:tcW w:type="dxa" w:w="3331"/>
            <w:tcMar>
              <w:top w:w="90" w:type="dxa"/>
              <w:start w:w="110" w:type="dxa"/>
              <w:bottom w:w="90" w:type="dxa"/>
              <w:end w:w="110" w:type="dxa"/>
            </w:tcMar>
            <w:shd w:fill="F3F6F9"/>
          </w:tcPr>
          <w:p>
            <w:r>
              <w:rPr>
                <w:sz w:val="18"/>
              </w:rPr>
              <w:t>Requirements</w:t>
            </w:r>
          </w:p>
        </w:tc>
      </w:tr>
      <w:tr>
        <w:tc>
          <w:tcPr>
            <w:tcW w:type="dxa" w:w="3331"/>
            <w:tcMar>
              <w:top w:w="90" w:type="dxa"/>
              <w:start w:w="110" w:type="dxa"/>
              <w:bottom w:w="90" w:type="dxa"/>
              <w:end w:w="110" w:type="dxa"/>
            </w:tcMar>
          </w:tcPr>
          <w:p>
            <w:r>
              <w:rPr>
                <w:sz w:val="18"/>
              </w:rPr>
              <w:t>4:00–5:30</w:t>
            </w:r>
          </w:p>
        </w:tc>
        <w:tc>
          <w:tcPr>
            <w:tcW w:type="dxa" w:w="3331"/>
            <w:tcMar>
              <w:top w:w="90" w:type="dxa"/>
              <w:start w:w="110" w:type="dxa"/>
              <w:bottom w:w="90" w:type="dxa"/>
              <w:end w:w="110" w:type="dxa"/>
            </w:tcMar>
          </w:tcPr>
          <w:p>
            <w:r>
              <w:rPr>
                <w:sz w:val="18"/>
              </w:rPr>
              <w:t>5</w:t>
            </w:r>
          </w:p>
        </w:tc>
        <w:tc>
          <w:tcPr>
            <w:tcW w:type="dxa" w:w="3331"/>
            <w:tcMar>
              <w:top w:w="90" w:type="dxa"/>
              <w:start w:w="110" w:type="dxa"/>
              <w:bottom w:w="90" w:type="dxa"/>
              <w:end w:w="110" w:type="dxa"/>
            </w:tcMar>
          </w:tcPr>
          <w:p>
            <w:r>
              <w:rPr>
                <w:sz w:val="18"/>
              </w:rPr>
              <w:t>Architecture</w:t>
            </w:r>
          </w:p>
        </w:tc>
      </w:tr>
      <w:tr>
        <w:tc>
          <w:tcPr>
            <w:tcW w:type="dxa" w:w="3331"/>
            <w:tcMar>
              <w:top w:w="90" w:type="dxa"/>
              <w:start w:w="110" w:type="dxa"/>
              <w:bottom w:w="90" w:type="dxa"/>
              <w:end w:w="110" w:type="dxa"/>
            </w:tcMar>
            <w:shd w:fill="F3F6F9"/>
          </w:tcPr>
          <w:p>
            <w:r>
              <w:rPr>
                <w:sz w:val="18"/>
              </w:rPr>
              <w:t>5:30–6:40</w:t>
            </w:r>
          </w:p>
        </w:tc>
        <w:tc>
          <w:tcPr>
            <w:tcW w:type="dxa" w:w="3331"/>
            <w:tcMar>
              <w:top w:w="90" w:type="dxa"/>
              <w:start w:w="110" w:type="dxa"/>
              <w:bottom w:w="90" w:type="dxa"/>
              <w:end w:w="110" w:type="dxa"/>
            </w:tcMar>
            <w:shd w:fill="F3F6F9"/>
          </w:tcPr>
          <w:p>
            <w:r>
              <w:rPr>
                <w:sz w:val="18"/>
              </w:rPr>
              <w:t>6</w:t>
            </w:r>
          </w:p>
        </w:tc>
        <w:tc>
          <w:tcPr>
            <w:tcW w:type="dxa" w:w="3331"/>
            <w:tcMar>
              <w:top w:w="90" w:type="dxa"/>
              <w:start w:w="110" w:type="dxa"/>
              <w:bottom w:w="90" w:type="dxa"/>
              <w:end w:w="110" w:type="dxa"/>
            </w:tcMar>
            <w:shd w:fill="F3F6F9"/>
          </w:tcPr>
          <w:p>
            <w:r>
              <w:rPr>
                <w:sz w:val="18"/>
              </w:rPr>
              <w:t>Ingestion pipeline</w:t>
            </w:r>
          </w:p>
        </w:tc>
      </w:tr>
      <w:tr>
        <w:tc>
          <w:tcPr>
            <w:tcW w:type="dxa" w:w="3331"/>
            <w:tcMar>
              <w:top w:w="90" w:type="dxa"/>
              <w:start w:w="110" w:type="dxa"/>
              <w:bottom w:w="90" w:type="dxa"/>
              <w:end w:w="110" w:type="dxa"/>
            </w:tcMar>
          </w:tcPr>
          <w:p>
            <w:r>
              <w:rPr>
                <w:sz w:val="18"/>
              </w:rPr>
              <w:t>6:40–9:10</w:t>
            </w:r>
          </w:p>
        </w:tc>
        <w:tc>
          <w:tcPr>
            <w:tcW w:type="dxa" w:w="3331"/>
            <w:tcMar>
              <w:top w:w="90" w:type="dxa"/>
              <w:start w:w="110" w:type="dxa"/>
              <w:bottom w:w="90" w:type="dxa"/>
              <w:end w:w="110" w:type="dxa"/>
            </w:tcMar>
          </w:tcPr>
          <w:p>
            <w:r>
              <w:rPr>
                <w:sz w:val="18"/>
              </w:rPr>
              <w:t>7–8</w:t>
            </w:r>
          </w:p>
        </w:tc>
        <w:tc>
          <w:tcPr>
            <w:tcW w:type="dxa" w:w="3331"/>
            <w:tcMar>
              <w:top w:w="90" w:type="dxa"/>
              <w:start w:w="110" w:type="dxa"/>
              <w:bottom w:w="90" w:type="dxa"/>
              <w:end w:w="110" w:type="dxa"/>
            </w:tcMar>
          </w:tcPr>
          <w:p>
            <w:r>
              <w:rPr>
                <w:sz w:val="18"/>
              </w:rPr>
              <w:t>RAG and LangGraph</w:t>
            </w:r>
          </w:p>
        </w:tc>
      </w:tr>
      <w:tr>
        <w:tc>
          <w:tcPr>
            <w:tcW w:type="dxa" w:w="3331"/>
            <w:tcMar>
              <w:top w:w="90" w:type="dxa"/>
              <w:start w:w="110" w:type="dxa"/>
              <w:bottom w:w="90" w:type="dxa"/>
              <w:end w:w="110" w:type="dxa"/>
            </w:tcMar>
            <w:shd w:fill="F3F6F9"/>
          </w:tcPr>
          <w:p>
            <w:r>
              <w:rPr>
                <w:sz w:val="18"/>
              </w:rPr>
              <w:t>9:10–11:25</w:t>
            </w:r>
          </w:p>
        </w:tc>
        <w:tc>
          <w:tcPr>
            <w:tcW w:type="dxa" w:w="3331"/>
            <w:tcMar>
              <w:top w:w="90" w:type="dxa"/>
              <w:start w:w="110" w:type="dxa"/>
              <w:bottom w:w="90" w:type="dxa"/>
              <w:end w:w="110" w:type="dxa"/>
            </w:tcMar>
            <w:shd w:fill="F3F6F9"/>
          </w:tcPr>
          <w:p>
            <w:r>
              <w:rPr>
                <w:sz w:val="18"/>
              </w:rPr>
              <w:t>9</w:t>
            </w:r>
          </w:p>
        </w:tc>
        <w:tc>
          <w:tcPr>
            <w:tcW w:type="dxa" w:w="3331"/>
            <w:tcMar>
              <w:top w:w="90" w:type="dxa"/>
              <w:start w:w="110" w:type="dxa"/>
              <w:bottom w:w="90" w:type="dxa"/>
              <w:end w:w="110" w:type="dxa"/>
            </w:tcMar>
            <w:shd w:fill="F3F6F9"/>
          </w:tcPr>
          <w:p>
            <w:r>
              <w:rPr>
                <w:sz w:val="18"/>
              </w:rPr>
              <w:t>Streamlit + API live demo</w:t>
            </w:r>
          </w:p>
        </w:tc>
      </w:tr>
      <w:tr>
        <w:tc>
          <w:tcPr>
            <w:tcW w:type="dxa" w:w="3331"/>
            <w:tcMar>
              <w:top w:w="90" w:type="dxa"/>
              <w:start w:w="110" w:type="dxa"/>
              <w:bottom w:w="90" w:type="dxa"/>
              <w:end w:w="110" w:type="dxa"/>
            </w:tcMar>
          </w:tcPr>
          <w:p>
            <w:r>
              <w:rPr>
                <w:sz w:val="18"/>
              </w:rPr>
              <w:t>11:25–12:40</w:t>
            </w:r>
          </w:p>
        </w:tc>
        <w:tc>
          <w:tcPr>
            <w:tcW w:type="dxa" w:w="3331"/>
            <w:tcMar>
              <w:top w:w="90" w:type="dxa"/>
              <w:start w:w="110" w:type="dxa"/>
              <w:bottom w:w="90" w:type="dxa"/>
              <w:end w:w="110" w:type="dxa"/>
            </w:tcMar>
          </w:tcPr>
          <w:p>
            <w:r>
              <w:rPr>
                <w:sz w:val="18"/>
              </w:rPr>
              <w:t>10</w:t>
            </w:r>
          </w:p>
        </w:tc>
        <w:tc>
          <w:tcPr>
            <w:tcW w:type="dxa" w:w="3331"/>
            <w:tcMar>
              <w:top w:w="90" w:type="dxa"/>
              <w:start w:w="110" w:type="dxa"/>
              <w:bottom w:w="90" w:type="dxa"/>
              <w:end w:w="110" w:type="dxa"/>
            </w:tcMar>
          </w:tcPr>
          <w:p>
            <w:r>
              <w:rPr>
                <w:sz w:val="18"/>
              </w:rPr>
              <w:t>Human review and governance</w:t>
            </w:r>
          </w:p>
        </w:tc>
      </w:tr>
      <w:tr>
        <w:tc>
          <w:tcPr>
            <w:tcW w:type="dxa" w:w="3331"/>
            <w:tcMar>
              <w:top w:w="90" w:type="dxa"/>
              <w:start w:w="110" w:type="dxa"/>
              <w:bottom w:w="90" w:type="dxa"/>
              <w:end w:w="110" w:type="dxa"/>
            </w:tcMar>
            <w:shd w:fill="F3F6F9"/>
          </w:tcPr>
          <w:p>
            <w:r>
              <w:rPr>
                <w:sz w:val="18"/>
              </w:rPr>
              <w:t>12:40–13:50</w:t>
            </w:r>
          </w:p>
        </w:tc>
        <w:tc>
          <w:tcPr>
            <w:tcW w:type="dxa" w:w="3331"/>
            <w:tcMar>
              <w:top w:w="90" w:type="dxa"/>
              <w:start w:w="110" w:type="dxa"/>
              <w:bottom w:w="90" w:type="dxa"/>
              <w:end w:w="110" w:type="dxa"/>
            </w:tcMar>
            <w:shd w:fill="F3F6F9"/>
          </w:tcPr>
          <w:p>
            <w:r>
              <w:rPr>
                <w:sz w:val="18"/>
              </w:rPr>
              <w:t>11</w:t>
            </w:r>
          </w:p>
        </w:tc>
        <w:tc>
          <w:tcPr>
            <w:tcW w:type="dxa" w:w="3331"/>
            <w:tcMar>
              <w:top w:w="90" w:type="dxa"/>
              <w:start w:w="110" w:type="dxa"/>
              <w:bottom w:w="90" w:type="dxa"/>
              <w:end w:w="110" w:type="dxa"/>
            </w:tcMar>
            <w:shd w:fill="F3F6F9"/>
          </w:tcPr>
          <w:p>
            <w:r>
              <w:rPr>
                <w:sz w:val="18"/>
              </w:rPr>
              <w:t>Test evidence and limitations</w:t>
            </w:r>
          </w:p>
        </w:tc>
      </w:tr>
      <w:tr>
        <w:tc>
          <w:tcPr>
            <w:tcW w:type="dxa" w:w="3331"/>
            <w:tcMar>
              <w:top w:w="90" w:type="dxa"/>
              <w:start w:w="110" w:type="dxa"/>
              <w:bottom w:w="90" w:type="dxa"/>
              <w:end w:w="110" w:type="dxa"/>
            </w:tcMar>
          </w:tcPr>
          <w:p>
            <w:r>
              <w:rPr>
                <w:sz w:val="18"/>
              </w:rPr>
              <w:t>13:50–15:00</w:t>
            </w:r>
          </w:p>
        </w:tc>
        <w:tc>
          <w:tcPr>
            <w:tcW w:type="dxa" w:w="3331"/>
            <w:tcMar>
              <w:top w:w="90" w:type="dxa"/>
              <w:start w:w="110" w:type="dxa"/>
              <w:bottom w:w="90" w:type="dxa"/>
              <w:end w:w="110" w:type="dxa"/>
            </w:tcMar>
          </w:tcPr>
          <w:p>
            <w:r>
              <w:rPr>
                <w:sz w:val="18"/>
              </w:rPr>
              <w:t>12</w:t>
            </w:r>
          </w:p>
        </w:tc>
        <w:tc>
          <w:tcPr>
            <w:tcW w:type="dxa" w:w="3331"/>
            <w:tcMar>
              <w:top w:w="90" w:type="dxa"/>
              <w:start w:w="110" w:type="dxa"/>
              <w:bottom w:w="90" w:type="dxa"/>
              <w:end w:w="110" w:type="dxa"/>
            </w:tcMar>
          </w:tcPr>
          <w:p>
            <w:r>
              <w:rPr>
                <w:sz w:val="18"/>
              </w:rPr>
              <w:t>Roadmap and close</w:t>
            </w:r>
          </w:p>
        </w:tc>
      </w:tr>
    </w:tbl>
    <w:p>
      <w:pPr>
        <w:pStyle w:val="Heading1"/>
        <w:keepNext/>
        <w:pageBreakBefore/>
      </w:pPr>
      <w:r>
        <w:rPr>
          <w:color w:val="14263D"/>
        </w:rPr>
        <w:t>01  |  Title: From documents to traceable answers</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0:45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Set the scene and state the value proposition.</w:t>
            </w:r>
          </w:p>
        </w:tc>
      </w:tr>
    </w:tbl>
    <w:p>
      <w:pPr>
        <w:spacing w:after="0"/>
      </w:pPr>
    </w:p>
    <w:p>
      <w:pPr>
        <w:pStyle w:val="Heading3"/>
        <w:keepNext/>
      </w:pPr>
      <w:r>
        <w:t>SAY</w:t>
      </w:r>
    </w:p>
    <w:p>
      <w:pPr>
        <w:spacing w:after="100"/>
        <w:ind w:left="115" w:right="72"/>
      </w:pPr>
      <w:r>
        <w:t>Good morning. Today I’m presenting the Enterprise Knowledge Research Agent. The idea is to turn scattered enterprise documents into answers people can inspect and review. Instead of just returning a fluent response, the solution retrieves relevant passages, generates an answer with source references, runs validation checks, and lets a reviewer record a decision. I’ll first explain the use case and architecture, then show the working application and close with what is still needed for production.</w:t>
      </w:r>
    </w:p>
    <w:p>
      <w:pPr>
        <w:spacing w:after="160"/>
      </w:pPr>
      <w:r>
        <w:rPr>
          <w:b/>
          <w:i/>
          <w:color w:val="566575"/>
        </w:rPr>
        <w:t xml:space="preserve">TRANSITION  </w:t>
      </w:r>
      <w:r>
        <w:rPr>
          <w:i/>
          <w:color w:val="566575"/>
        </w:rPr>
        <w:t>Let me start with the business problem we are solving.</w:t>
      </w:r>
    </w:p>
    <w:p>
      <w:pPr>
        <w:pStyle w:val="Heading1"/>
        <w:keepNext/>
      </w:pPr>
      <w:r>
        <w:rPr>
          <w:color w:val="14263D"/>
        </w:rPr>
        <w:t>02  |  Executive summary: the problem and solution</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1:05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Explain the problem in business terms.</w:t>
            </w:r>
          </w:p>
        </w:tc>
      </w:tr>
    </w:tbl>
    <w:p>
      <w:pPr>
        <w:spacing w:after="0"/>
      </w:pPr>
    </w:p>
    <w:p>
      <w:pPr>
        <w:pStyle w:val="Heading3"/>
        <w:keepNext/>
      </w:pPr>
      <w:r>
        <w:t>SAY</w:t>
      </w:r>
    </w:p>
    <w:p>
      <w:pPr>
        <w:spacing w:after="100"/>
        <w:ind w:left="115" w:right="72"/>
      </w:pPr>
      <w:r>
        <w:t>Enterprise knowledge often exists, but it is spread across different files and formats. Employees may spend time searching policies or may receive inconsistent answers depending on which document they find. A general AI answer without evidence is also hard to trust or audit. Our solution follows a simple principle: retrieve first, answer from the retrieved context, and make the evidence visible. It supports common document formats, displays source IDs and excerpts, provides a trace ID, and supports human review. This is a working prototype—not yet a production-secured enterprise service.</w:t>
      </w:r>
    </w:p>
    <w:p>
      <w:pPr>
        <w:spacing w:after="160"/>
      </w:pPr>
      <w:r>
        <w:rPr>
          <w:b/>
          <w:i/>
          <w:color w:val="566575"/>
        </w:rPr>
        <w:t xml:space="preserve">TRANSITION  </w:t>
      </w:r>
      <w:r>
        <w:rPr>
          <w:i/>
          <w:color w:val="566575"/>
        </w:rPr>
        <w:t>The next slide makes the user journey concrete.</w:t>
      </w:r>
    </w:p>
    <w:p>
      <w:pPr>
        <w:pStyle w:val="Heading1"/>
        <w:keepNext/>
        <w:pageBreakBefore/>
      </w:pPr>
      <w:r>
        <w:rPr>
          <w:color w:val="14263D"/>
        </w:rPr>
        <w:t>03  |  Use case: policy and process questions</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1:05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Show who benefits and what a user does.</w:t>
            </w:r>
          </w:p>
        </w:tc>
      </w:tr>
    </w:tbl>
    <w:p>
      <w:pPr>
        <w:spacing w:after="0"/>
      </w:pPr>
    </w:p>
    <w:p>
      <w:pPr>
        <w:pStyle w:val="Heading3"/>
        <w:keepNext/>
      </w:pPr>
      <w:r>
        <w:t>SAY</w:t>
      </w:r>
    </w:p>
    <w:p>
      <w:pPr>
        <w:spacing w:after="100"/>
        <w:ind w:left="115" w:right="72"/>
      </w:pPr>
      <w:r>
        <w:t>The primary use case is an employee or support team asking a question about a policy or process. An employee might ask what meal limit applies; a manager might ask which approvals are required; operations or HR might ask what steps a procedure requires. The user asks in natural language. The system retrieves evidence from the indexed documents, synthesizes a concise answer, then exposes citations and validation. If evidence is missing, the expected behavior is to say so instead of inventing a rule. For this demonstration, we use fictional sample policies only.</w:t>
      </w:r>
    </w:p>
    <w:p>
      <w:pPr>
        <w:spacing w:after="160"/>
      </w:pPr>
      <w:r>
        <w:rPr>
          <w:b/>
          <w:i/>
          <w:color w:val="566575"/>
        </w:rPr>
        <w:t xml:space="preserve">TRANSITION  </w:t>
      </w:r>
      <w:r>
        <w:rPr>
          <w:i/>
          <w:color w:val="566575"/>
        </w:rPr>
        <w:t>To deliver that experience, the solution needs several explicit requirements.</w:t>
      </w:r>
    </w:p>
    <w:p>
      <w:pPr>
        <w:pStyle w:val="Heading1"/>
        <w:keepNext/>
      </w:pPr>
      <w:r>
        <w:rPr>
          <w:color w:val="14263D"/>
        </w:rPr>
        <w:t>04  |  Requirements: traceability over fluency</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1:05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Connect user needs to technical requirements.</w:t>
            </w:r>
          </w:p>
        </w:tc>
      </w:tr>
    </w:tbl>
    <w:p>
      <w:pPr>
        <w:spacing w:after="0"/>
      </w:pPr>
    </w:p>
    <w:p>
      <w:pPr>
        <w:pStyle w:val="Heading3"/>
        <w:keepNext/>
      </w:pPr>
      <w:r>
        <w:t>SAY</w:t>
      </w:r>
    </w:p>
    <w:p>
      <w:pPr>
        <w:spacing w:after="100"/>
        <w:ind w:left="115" w:right="72"/>
      </w:pPr>
      <w:r>
        <w:t>I grouped the requirements into eight capabilities. First, multi-format ingestion and a rebuildable index. Second, semantic retrieval. Third, grounded synthesis with citations. Fourth, structural validation and a bounded retry. Fifth, source excerpts and trace IDs so users can inspect evidence. Sixth, reusable Streamlit and FastAPI interfaces. Seventh, human-review feedback with a timestamp and trace ID. Finally, automated tests and a small evaluation suite. An important distinction is that citation checks confirm the format and source IDs, but they do not by themselves prove that every claim is semantically supported.</w:t>
      </w:r>
    </w:p>
    <w:p>
      <w:pPr>
        <w:spacing w:after="160"/>
      </w:pPr>
      <w:r>
        <w:rPr>
          <w:b/>
          <w:i/>
          <w:color w:val="566575"/>
        </w:rPr>
        <w:t xml:space="preserve">TRANSITION  </w:t>
      </w:r>
      <w:r>
        <w:rPr>
          <w:i/>
          <w:color w:val="566575"/>
        </w:rPr>
        <w:t>Here is how those capabilities fit together.</w:t>
      </w:r>
    </w:p>
    <w:p>
      <w:pPr>
        <w:pStyle w:val="Heading1"/>
        <w:keepNext/>
        <w:pageBreakBefore/>
      </w:pPr>
      <w:r>
        <w:rPr>
          <w:color w:val="14263D"/>
        </w:rPr>
        <w:t>05  |  Solution architecture</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1:30</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Walk through the layers from source to user.</w:t>
            </w:r>
          </w:p>
        </w:tc>
      </w:tr>
    </w:tbl>
    <w:p>
      <w:pPr>
        <w:spacing w:after="0"/>
      </w:pPr>
    </w:p>
    <w:p>
      <w:pPr>
        <w:pStyle w:val="Heading3"/>
        <w:keepNext/>
      </w:pPr>
      <w:r>
        <w:t>SAY</w:t>
      </w:r>
    </w:p>
    <w:p>
      <w:pPr>
        <w:spacing w:after="100"/>
        <w:ind w:left="115" w:right="72"/>
      </w:pPr>
      <w:r>
        <w:t>The architecture has five layers. The content layer accepts PDF, Word, PowerPoint, text, Markdown and CSV files. The ingestion layer extracts text, splits it into overlapping chunks, attaches source metadata, and persists the manifest and index. The retrieval layer uses NVIDIA embeddings and Chroma to find top matching chunks. The LangGraph workflow coordinates the researcher, analyst and validator. Finally, Streamlit presents the interactive experience and FastAPI exposes the same workflow through an API. Logs, evaluation and human feedback support observability. Document-level access controls and enterprise SSO are explicitly still pending; prompts alone are not an authorization mechanism.</w:t>
      </w:r>
    </w:p>
    <w:p>
      <w:pPr>
        <w:spacing w:after="160"/>
      </w:pPr>
      <w:r>
        <w:rPr>
          <w:b/>
          <w:i/>
          <w:color w:val="566575"/>
        </w:rPr>
        <w:t xml:space="preserve">TRANSITION  </w:t>
      </w:r>
      <w:r>
        <w:rPr>
          <w:i/>
          <w:color w:val="566575"/>
        </w:rPr>
        <w:t>I’ll zoom in on how raw files become searchable evidence.</w:t>
      </w:r>
    </w:p>
    <w:p>
      <w:pPr>
        <w:pStyle w:val="Heading1"/>
        <w:keepNext/>
      </w:pPr>
      <w:r>
        <w:rPr>
          <w:color w:val="14263D"/>
        </w:rPr>
        <w:t>06  |  Data pipeline: build a rebuildable index</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1:10</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Explain ingestion and its known limitation.</w:t>
            </w:r>
          </w:p>
        </w:tc>
      </w:tr>
    </w:tbl>
    <w:p>
      <w:pPr>
        <w:spacing w:after="0"/>
      </w:pPr>
    </w:p>
    <w:p>
      <w:pPr>
        <w:pStyle w:val="Heading3"/>
        <w:keepNext/>
      </w:pPr>
      <w:r>
        <w:t>SAY</w:t>
      </w:r>
    </w:p>
    <w:p>
      <w:pPr>
        <w:spacing w:after="100"/>
        <w:ind w:left="115" w:right="72"/>
      </w:pPr>
      <w:r>
        <w:t>The data pipeline has six steps: collect files, extract text and available page or slide locations, split long content into overlapping chunks, attach source metadata, create embeddings, and store vectors in Chroma alongside the source manifest. This makes documents retrievable as smaller passages instead of sending every full document to the model. In the current implementation, parsing, chunking and index rebuilding are working. A known limitation is that image-only scanned PDFs need OCR, and this prototype does not yet enforce document permissions at retrieval time.</w:t>
      </w:r>
    </w:p>
    <w:p>
      <w:pPr>
        <w:spacing w:after="160"/>
      </w:pPr>
      <w:r>
        <w:rPr>
          <w:b/>
          <w:i/>
          <w:color w:val="566575"/>
        </w:rPr>
        <w:t xml:space="preserve">TRANSITION  </w:t>
      </w:r>
      <w:r>
        <w:rPr>
          <w:i/>
          <w:color w:val="566575"/>
        </w:rPr>
        <w:t>Once the chunks are indexed, RAG connects the question to the relevant evidence.</w:t>
      </w:r>
    </w:p>
    <w:p>
      <w:pPr>
        <w:pStyle w:val="Heading1"/>
        <w:keepNext/>
        <w:pageBreakBefore/>
      </w:pPr>
      <w:r>
        <w:rPr>
          <w:color w:val="14263D"/>
        </w:rPr>
        <w:t>07  |  RAG: answer from retrieved evidence</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1:15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Explain retrieval-augmented generation using the demo result.</w:t>
            </w:r>
          </w:p>
        </w:tc>
      </w:tr>
    </w:tbl>
    <w:p>
      <w:pPr>
        <w:spacing w:after="0"/>
      </w:pPr>
    </w:p>
    <w:p>
      <w:pPr>
        <w:pStyle w:val="Heading3"/>
        <w:keepNext/>
      </w:pPr>
      <w:r>
        <w:t>SAY</w:t>
      </w:r>
    </w:p>
    <w:p>
      <w:pPr>
        <w:spacing w:after="100"/>
        <w:ind w:left="115" w:right="72"/>
      </w:pPr>
      <w:r>
        <w:t>RAG stands for retrieval-augmented generation. The user question is represented as an embedding, then Chroma similarity search finds relevant chunks. Those chunks are passed to the answer model with source labels like S1 and S2. The model is instructed to answer using the supplied evidence and cite factual statements. In our example, the handbook states a meal limit of INR 1,200 per employee per day during approved business travel, and the response cites that evidence. The retrieval score is a search signal, not a calibrated probability that the answer is correct.</w:t>
      </w:r>
    </w:p>
    <w:p>
      <w:pPr>
        <w:spacing w:after="160"/>
      </w:pPr>
      <w:r>
        <w:rPr>
          <w:b/>
          <w:i/>
          <w:color w:val="566575"/>
        </w:rPr>
        <w:t xml:space="preserve">TRANSITION  </w:t>
      </w:r>
      <w:r>
        <w:rPr>
          <w:i/>
          <w:color w:val="566575"/>
        </w:rPr>
        <w:t>Retrieval and generation are coordinated by the agent graph.</w:t>
      </w:r>
    </w:p>
    <w:p>
      <w:pPr>
        <w:pStyle w:val="Heading1"/>
        <w:keepNext/>
      </w:pPr>
      <w:r>
        <w:rPr>
          <w:color w:val="14263D"/>
        </w:rPr>
        <w:t>08  |  LangGraph: research, analyze, validate</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1:15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Explain the roles and why retry is bounded.</w:t>
            </w:r>
          </w:p>
        </w:tc>
      </w:tr>
    </w:tbl>
    <w:p>
      <w:pPr>
        <w:spacing w:after="0"/>
      </w:pPr>
    </w:p>
    <w:p>
      <w:pPr>
        <w:pStyle w:val="Heading3"/>
        <w:keepNext/>
      </w:pPr>
      <w:r>
        <w:t>SAY</w:t>
      </w:r>
    </w:p>
    <w:p>
      <w:pPr>
        <w:spacing w:after="100"/>
        <w:ind w:left="115" w:right="72"/>
      </w:pPr>
      <w:r>
        <w:t>The workflow separates responsibilities into three nodes. The researcher retrieves passages and assigns source IDs. The analyst drafts a concise answer using the retrieved evidence. The validator checks whether cited source IDs exist and whether factual sentences have citation coverage. If the checks fail, the graph can broaden the query and retry once, within a configured limit. If the documents do not contain the answer, the agent should return a clear limitation. This is useful control flow, but the current validator is structural. Semantic groundedness evaluation is part of the next quality phase.</w:t>
      </w:r>
    </w:p>
    <w:p>
      <w:pPr>
        <w:spacing w:after="160"/>
      </w:pPr>
      <w:r>
        <w:rPr>
          <w:b/>
          <w:i/>
          <w:color w:val="566575"/>
        </w:rPr>
        <w:t xml:space="preserve">TRANSITION  </w:t>
      </w:r>
      <w:r>
        <w:rPr>
          <w:i/>
          <w:color w:val="566575"/>
        </w:rPr>
        <w:t>Now I’ll show the same workflow in the running application.</w:t>
      </w:r>
    </w:p>
    <w:p>
      <w:pPr>
        <w:pStyle w:val="Heading1"/>
        <w:keepNext/>
        <w:pageBreakBefore/>
      </w:pPr>
      <w:r>
        <w:rPr>
          <w:color w:val="14263D"/>
        </w:rPr>
        <w:t>09  |  User experience and API: live demo</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2:15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Prove the end-to-end path in the actual application.</w:t>
            </w:r>
          </w:p>
        </w:tc>
      </w:tr>
    </w:tbl>
    <w:p>
      <w:pPr>
        <w:spacing w:after="0"/>
      </w:pPr>
    </w:p>
    <w:p>
      <w:pPr>
        <w:pStyle w:val="Heading3"/>
        <w:keepNext/>
      </w:pPr>
      <w:r>
        <w:t>SAY</w:t>
      </w:r>
    </w:p>
    <w:p>
      <w:pPr>
        <w:spacing w:after="100"/>
        <w:ind w:left="115" w:right="72"/>
      </w:pPr>
      <w:r>
        <w:t>The same workflow is available through two interfaces. Streamlit is the interactive front end where I can ask questions, upload documents, and inspect answers. FastAPI makes the workflow reusable by other applications through a JSON contract. I’ll demonstrate the meal-limit question, inspect the cited source and excerpt, then briefly show the API health check and request endpoint.</w:t>
      </w:r>
    </w:p>
    <w:p>
      <w:pPr>
        <w:spacing w:after="80"/>
      </w:pPr>
      <w:r>
        <w:rPr>
          <w:b/>
          <w:color w:val="13A6A6"/>
        </w:rPr>
        <w:t xml:space="preserve">LIVE ACTION  </w:t>
      </w:r>
      <w:r>
        <w:t>On Streamlit, ask: “What is the daily meal expense limit?” Wait for the answer. Open Sources and validation and point to Demo_Handbook.docx and the passage stating INR 1,200 per employee per day. If time permits, open http://127.0.0.1:8000/docs, show GET /health, then show POST /ask. Avoid spending time typing a long payload if the live demo is slow.</w:t>
      </w:r>
    </w:p>
    <w:p>
      <w:pPr>
        <w:spacing w:after="160"/>
      </w:pPr>
      <w:r>
        <w:rPr>
          <w:b/>
          <w:i/>
          <w:color w:val="566575"/>
        </w:rPr>
        <w:t xml:space="preserve">TRANSITION  </w:t>
      </w:r>
      <w:r>
        <w:rPr>
          <w:i/>
          <w:color w:val="566575"/>
        </w:rPr>
        <w:t>An answer is easier to govern when a human can record a decision.</w:t>
      </w:r>
    </w:p>
    <w:p>
      <w:pPr>
        <w:pStyle w:val="Heading1"/>
        <w:keepNext/>
      </w:pPr>
      <w:r>
        <w:rPr>
          <w:color w:val="14263D"/>
        </w:rPr>
        <w:t>10  |  Trust, review and governance</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1:15</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Show reviewer feedback and separate prototype controls from production needs.</w:t>
            </w:r>
          </w:p>
        </w:tc>
      </w:tr>
    </w:tbl>
    <w:p>
      <w:pPr>
        <w:spacing w:after="0"/>
      </w:pPr>
    </w:p>
    <w:p>
      <w:pPr>
        <w:pStyle w:val="Heading3"/>
        <w:keepNext/>
      </w:pPr>
      <w:r>
        <w:t>SAY</w:t>
      </w:r>
    </w:p>
    <w:p>
      <w:pPr>
        <w:spacing w:after="100"/>
        <w:ind w:left="115" w:right="72"/>
      </w:pPr>
      <w:r>
        <w:t>The prototype makes evidence inspectable, runs basic validation, records trace IDs, and supports two reviewer decisions: approved or needs review. Each feedback record includes the decision, reviewer comment, timestamp and trace ID in a local JSONL file. I can show the feedback log to demonstrate that the actions are persisted. For actual enterprise use, this would need authenticated reviewers, authorization, secure storage and a complete audit policy. We also need SSO, document-level permissions before retrieval, approved model endpoints, secret management, and prompt-injection and access-leakage testing.</w:t>
      </w:r>
    </w:p>
    <w:p>
      <w:pPr>
        <w:spacing w:after="80"/>
      </w:pPr>
      <w:r>
        <w:rPr>
          <w:b/>
          <w:color w:val="13A6A6"/>
        </w:rPr>
        <w:t xml:space="preserve">LIVE ACTION  </w:t>
      </w:r>
      <w:r>
        <w:t>Open the Human review section, choose Approve answer or Needs review as appropriate, then briefly show reports/feedback.jsonl. Explain that it is a local demo audit trail, not production-grade audit infrastructure.</w:t>
      </w:r>
    </w:p>
    <w:p>
      <w:pPr>
        <w:spacing w:after="160"/>
      </w:pPr>
      <w:r>
        <w:rPr>
          <w:b/>
          <w:i/>
          <w:color w:val="566575"/>
        </w:rPr>
        <w:t xml:space="preserve">TRANSITION  </w:t>
      </w:r>
      <w:r>
        <w:rPr>
          <w:i/>
          <w:color w:val="566575"/>
        </w:rPr>
        <w:t>Next, I’ll summarize the verification evidence and its limits.</w:t>
      </w:r>
    </w:p>
    <w:p>
      <w:pPr>
        <w:pStyle w:val="Heading1"/>
        <w:keepNext/>
        <w:pageBreakBefore/>
      </w:pPr>
      <w:r>
        <w:rPr>
          <w:color w:val="14263D"/>
        </w:rPr>
        <w:t>11  |  Prototype verification: what we tested</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1:10</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Present results honestly and avoid overstating evaluation.</w:t>
            </w:r>
          </w:p>
        </w:tc>
      </w:tr>
    </w:tbl>
    <w:p>
      <w:pPr>
        <w:spacing w:after="0"/>
      </w:pPr>
    </w:p>
    <w:p>
      <w:pPr>
        <w:pStyle w:val="Heading3"/>
        <w:keepNext/>
      </w:pPr>
      <w:r>
        <w:t>SAY</w:t>
      </w:r>
    </w:p>
    <w:p>
      <w:pPr>
        <w:spacing w:after="100"/>
        <w:ind w:left="115" w:right="72"/>
      </w:pPr>
      <w:r>
        <w:t>The automated test suite currently passes all eight tests. The smoke evaluation recorded five out of five expected-source hits and five out of five citation checks. We also tested a supported question, which returned the INR 1,200 meal limit, and an unanswerable question, where the system stated that annual leave entitlement was not specified and used one retry. The human-review actions also persisted to the feedback log. These results show that the main integrations are exercised. They are not a statistical benchmark or proof of factual accuracy; we still need a larger reviewed question set, claim-level groundedness checks and repeated latency profiling.</w:t>
      </w:r>
    </w:p>
    <w:p>
      <w:pPr>
        <w:spacing w:after="160"/>
      </w:pPr>
      <w:r>
        <w:rPr>
          <w:b/>
          <w:i/>
          <w:color w:val="566575"/>
        </w:rPr>
        <w:t xml:space="preserve">TRANSITION  </w:t>
      </w:r>
      <w:r>
        <w:rPr>
          <w:i/>
          <w:color w:val="566575"/>
        </w:rPr>
        <w:t>I’ll finish with a practical path from prototype to pilot.</w:t>
      </w:r>
    </w:p>
    <w:p>
      <w:pPr>
        <w:pStyle w:val="Heading1"/>
        <w:keepNext/>
      </w:pPr>
      <w:r>
        <w:rPr>
          <w:color w:val="14263D"/>
        </w:rPr>
        <w:t>12  |  Roadmap and close</w:t>
      </w:r>
    </w:p>
    <w:tbl>
      <w:tblPr>
        <w:tblW w:type="auto" w:w="0"/>
        <w:jc w:val="left"/>
        <w:tblLayout w:type="fixed"/>
        <w:tblLook w:firstColumn="1" w:firstRow="1" w:lastColumn="0" w:lastRow="0" w:noHBand="0" w:noVBand="1" w:val="04A0"/>
      </w:tblPr>
      <w:tblGrid>
        <w:gridCol w:w="1757"/>
        <w:gridCol w:w="8496"/>
      </w:tblGrid>
      <w:tr>
        <w:tc>
          <w:tcPr>
            <w:tcW w:type="dxa" w:w="1757"/>
            <w:shd w:fill="13A6A6"/>
            <w:tcMar>
              <w:top w:w="70" w:type="dxa"/>
              <w:start w:w="100" w:type="dxa"/>
              <w:bottom w:w="70" w:type="dxa"/>
              <w:end w:w="100" w:type="dxa"/>
            </w:tcMar>
          </w:tcPr>
          <w:p>
            <w:pPr>
              <w:spacing w:after="0"/>
              <w:jc w:val="center"/>
            </w:pPr>
            <w:r>
              <w:rPr>
                <w:b/>
                <w:color w:val="FFFFFF"/>
                <w:sz w:val="18"/>
              </w:rPr>
              <w:t>1:10</w:t>
            </w:r>
          </w:p>
        </w:tc>
        <w:tc>
          <w:tcPr>
            <w:tcW w:type="dxa" w:w="8496"/>
            <w:shd w:fill="EAF3F7"/>
            <w:tcMar>
              <w:top w:w="70" w:type="dxa"/>
              <w:start w:w="120" w:type="dxa"/>
              <w:bottom w:w="70" w:type="dxa"/>
              <w:end w:w="120" w:type="dxa"/>
            </w:tcMar>
          </w:tcPr>
          <w:p>
            <w:pPr>
              <w:spacing w:after="0"/>
            </w:pPr>
            <w:r>
              <w:rPr>
                <w:b/>
                <w:color w:val="245B7A"/>
                <w:sz w:val="18"/>
              </w:rPr>
              <w:t xml:space="preserve">GOAL  </w:t>
            </w:r>
            <w:r>
              <w:rPr>
                <w:color w:val="1C2936"/>
                <w:sz w:val="18"/>
              </w:rPr>
              <w:t>Close with the value and the next gates.</w:t>
            </w:r>
          </w:p>
        </w:tc>
      </w:tr>
    </w:tbl>
    <w:p>
      <w:pPr>
        <w:spacing w:after="0"/>
      </w:pPr>
    </w:p>
    <w:p>
      <w:pPr>
        <w:pStyle w:val="Heading3"/>
        <w:keepNext/>
      </w:pPr>
      <w:r>
        <w:t>SAY</w:t>
      </w:r>
    </w:p>
    <w:p>
      <w:pPr>
        <w:spacing w:after="100"/>
        <w:ind w:left="115" w:right="72"/>
      </w:pPr>
      <w:r>
        <w:t>The immediate step is to keep the demo corpus clean, rehearse the supported and unanswerable questions, and have the tests and trace log ready. Before a controlled pilot, the next work is a domain-reviewed golden question set, semantic groundedness evaluation, and monitoring for latency and errors. Before production, the service needs SSO and role-based access, document permission filtering, approved hosting and secrets, security sign-off, and a rollback plan. The key takeaway is that useful enterprise answers need retrieval, evidence, validation and human review—but production use also requires enforceable access control. Thank you. I’m happy to take questions.</w:t>
      </w:r>
    </w:p>
    <w:p>
      <w:pPr>
        <w:pStyle w:val="Heading1"/>
        <w:pageBreakBefore/>
      </w:pPr>
      <w:r>
        <w:t>Presenter backup card</w:t>
      </w:r>
    </w:p>
    <w:p>
      <w:pPr>
        <w:spacing w:after="120"/>
      </w:pPr>
      <w:r>
        <w:t>Use this page if you need a quick reminder during the live demo.</w:t>
      </w:r>
    </w:p>
    <w:p>
      <w:pPr>
        <w:pStyle w:val="Heading2"/>
      </w:pPr>
      <w:r>
        <w:t>Before you present</w:t>
      </w:r>
    </w:p>
    <w:p>
      <w:pPr>
        <w:pStyle w:val="ListBullet"/>
        <w:spacing w:after="40"/>
      </w:pPr>
      <w:r>
        <w:t>Start Streamlit and FastAPI; verify Streamlit loads and http://127.0.0.1:8000/health returns status “ok”.</w:t>
      </w:r>
    </w:p>
    <w:p>
      <w:pPr>
        <w:pStyle w:val="ListBullet"/>
        <w:spacing w:after="40"/>
      </w:pPr>
      <w:r>
        <w:t>Have Demo_Handbook.docx indexed. The current index may contain seven files, so explain that retrieval searches all indexed documents.</w:t>
      </w:r>
    </w:p>
    <w:p>
      <w:pPr>
        <w:pStyle w:val="ListBullet"/>
        <w:spacing w:after="40"/>
      </w:pPr>
      <w:r>
        <w:t>Prepare the meal-limit and annual-leave demo questions; keep reports/feedback.jsonl ready to show review decisions.</w:t>
      </w:r>
    </w:p>
    <w:p>
      <w:pPr>
        <w:pStyle w:val="ListBullet"/>
        <w:spacing w:after="40"/>
      </w:pPr>
      <w:r>
        <w:t>Never show API keys, .env secrets, personal data, or confidential documents. If the live model is slow, use a previously captured result and be transparent.</w:t>
      </w:r>
    </w:p>
    <w:p>
      <w:pPr>
        <w:pStyle w:val="Heading2"/>
      </w:pPr>
      <w:r>
        <w:t>Demo prompts and expected behavior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4263D"/>
          </w:tcPr>
          <w:p>
            <w:r>
              <w:rPr>
                <w:b/>
                <w:color w:val="FFFFFF"/>
                <w:sz w:val="18"/>
              </w:rPr>
              <w:t>Prompt</w:t>
            </w:r>
          </w:p>
        </w:tc>
        <w:tc>
          <w:tcPr>
            <w:tcW w:type="dxa" w:w="3331"/>
            <w:shd w:fill="14263D"/>
          </w:tcPr>
          <w:p>
            <w:r>
              <w:rPr>
                <w:b/>
                <w:color w:val="FFFFFF"/>
                <w:sz w:val="18"/>
              </w:rPr>
              <w:t>Expected behavior</w:t>
            </w:r>
          </w:p>
        </w:tc>
        <w:tc>
          <w:tcPr>
            <w:tcW w:type="dxa" w:w="3331"/>
            <w:shd w:fill="14263D"/>
          </w:tcPr>
          <w:p>
            <w:r>
              <w:rPr>
                <w:b/>
                <w:color w:val="FFFFFF"/>
                <w:sz w:val="18"/>
              </w:rPr>
              <w:t>What to point out</w:t>
            </w:r>
          </w:p>
        </w:tc>
      </w:tr>
      <w:tr>
        <w:tc>
          <w:tcPr>
            <w:tcW w:type="dxa" w:w="3331"/>
            <w:tcMar>
              <w:top w:w="90" w:type="dxa"/>
              <w:start w:w="100" w:type="dxa"/>
              <w:bottom w:w="90" w:type="dxa"/>
              <w:end w:w="100" w:type="dxa"/>
            </w:tcMar>
            <w:shd w:fill="F3F6F9"/>
          </w:tcPr>
          <w:p>
            <w:r>
              <w:rPr>
                <w:sz w:val="17"/>
              </w:rPr>
              <w:t>What is the daily meal expense limit?</w:t>
            </w:r>
          </w:p>
        </w:tc>
        <w:tc>
          <w:tcPr>
            <w:tcW w:type="dxa" w:w="3331"/>
            <w:tcMar>
              <w:top w:w="90" w:type="dxa"/>
              <w:start w:w="100" w:type="dxa"/>
              <w:bottom w:w="90" w:type="dxa"/>
              <w:end w:w="100" w:type="dxa"/>
            </w:tcMar>
            <w:shd w:fill="F3F6F9"/>
          </w:tcPr>
          <w:p>
            <w:r>
              <w:rPr>
                <w:sz w:val="17"/>
              </w:rPr>
              <w:t>INR 1,200 per employee per day while travelling on approved business.</w:t>
            </w:r>
          </w:p>
        </w:tc>
        <w:tc>
          <w:tcPr>
            <w:tcW w:type="dxa" w:w="3331"/>
            <w:tcMar>
              <w:top w:w="90" w:type="dxa"/>
              <w:start w:w="100" w:type="dxa"/>
              <w:bottom w:w="90" w:type="dxa"/>
              <w:end w:w="100" w:type="dxa"/>
            </w:tcMar>
            <w:shd w:fill="F3F6F9"/>
          </w:tcPr>
          <w:p>
            <w:r>
              <w:rPr>
                <w:sz w:val="17"/>
              </w:rPr>
              <w:t>Answer, citation [S1], filename and source excerpt.</w:t>
            </w:r>
          </w:p>
        </w:tc>
      </w:tr>
      <w:tr>
        <w:tc>
          <w:tcPr>
            <w:tcW w:type="dxa" w:w="3331"/>
            <w:tcMar>
              <w:top w:w="90" w:type="dxa"/>
              <w:start w:w="100" w:type="dxa"/>
              <w:bottom w:w="90" w:type="dxa"/>
              <w:end w:w="100" w:type="dxa"/>
            </w:tcMar>
          </w:tcPr>
          <w:p>
            <w:r>
              <w:rPr>
                <w:sz w:val="17"/>
              </w:rPr>
              <w:t>How many annual leave days are employees entitled to?</w:t>
            </w:r>
          </w:p>
        </w:tc>
        <w:tc>
          <w:tcPr>
            <w:tcW w:type="dxa" w:w="3331"/>
            <w:tcMar>
              <w:top w:w="90" w:type="dxa"/>
              <w:start w:w="100" w:type="dxa"/>
              <w:bottom w:w="90" w:type="dxa"/>
              <w:end w:w="100" w:type="dxa"/>
            </w:tcMar>
          </w:tcPr>
          <w:p>
            <w:r>
              <w:rPr>
                <w:sz w:val="17"/>
              </w:rPr>
              <w:t>The indexed documents do not specify the entitlement.</w:t>
            </w:r>
          </w:p>
        </w:tc>
        <w:tc>
          <w:tcPr>
            <w:tcW w:type="dxa" w:w="3331"/>
            <w:tcMar>
              <w:top w:w="90" w:type="dxa"/>
              <w:start w:w="100" w:type="dxa"/>
              <w:bottom w:w="90" w:type="dxa"/>
              <w:end w:w="100" w:type="dxa"/>
            </w:tcMar>
          </w:tcPr>
          <w:p>
            <w:r>
              <w:rPr>
                <w:sz w:val="17"/>
              </w:rPr>
              <w:t>Abstention and bounded retry; do not claim this proves semantic accuracy.</w:t>
            </w:r>
          </w:p>
        </w:tc>
      </w:tr>
      <w:tr>
        <w:tc>
          <w:tcPr>
            <w:tcW w:type="dxa" w:w="3331"/>
            <w:tcMar>
              <w:top w:w="90" w:type="dxa"/>
              <w:start w:w="100" w:type="dxa"/>
              <w:bottom w:w="90" w:type="dxa"/>
              <w:end w:w="100" w:type="dxa"/>
            </w:tcMar>
            <w:shd w:fill="F3F6F9"/>
          </w:tcPr>
          <w:p>
            <w:r>
              <w:rPr>
                <w:sz w:val="17"/>
              </w:rPr>
              <w:t>Reviewer workflow</w:t>
            </w:r>
          </w:p>
        </w:tc>
        <w:tc>
          <w:tcPr>
            <w:tcW w:type="dxa" w:w="3331"/>
            <w:tcMar>
              <w:top w:w="90" w:type="dxa"/>
              <w:start w:w="100" w:type="dxa"/>
              <w:bottom w:w="90" w:type="dxa"/>
              <w:end w:w="100" w:type="dxa"/>
            </w:tcMar>
            <w:shd w:fill="F3F6F9"/>
          </w:tcPr>
          <w:p>
            <w:r>
              <w:rPr>
                <w:sz w:val="17"/>
              </w:rPr>
              <w:t>Approve or mark needs review; comment is optional.</w:t>
            </w:r>
          </w:p>
        </w:tc>
        <w:tc>
          <w:tcPr>
            <w:tcW w:type="dxa" w:w="3331"/>
            <w:tcMar>
              <w:top w:w="90" w:type="dxa"/>
              <w:start w:w="100" w:type="dxa"/>
              <w:bottom w:w="90" w:type="dxa"/>
              <w:end w:w="100" w:type="dxa"/>
            </w:tcMar>
            <w:shd w:fill="F3F6F9"/>
          </w:tcPr>
          <w:p>
            <w:r>
              <w:rPr>
                <w:sz w:val="17"/>
              </w:rPr>
              <w:t>The trace ID, decision, timestamp and comment in reports/feedback.jsonl.</w:t>
            </w:r>
          </w:p>
        </w:tc>
      </w:tr>
      <w:tr>
        <w:tc>
          <w:tcPr>
            <w:tcW w:type="dxa" w:w="3331"/>
            <w:tcMar>
              <w:top w:w="90" w:type="dxa"/>
              <w:start w:w="100" w:type="dxa"/>
              <w:bottom w:w="90" w:type="dxa"/>
              <w:end w:w="100" w:type="dxa"/>
            </w:tcMar>
          </w:tcPr>
          <w:p>
            <w:r>
              <w:rPr>
                <w:sz w:val="17"/>
              </w:rPr>
              <w:t>API check</w:t>
            </w:r>
          </w:p>
        </w:tc>
        <w:tc>
          <w:tcPr>
            <w:tcW w:type="dxa" w:w="3331"/>
            <w:tcMar>
              <w:top w:w="90" w:type="dxa"/>
              <w:start w:w="100" w:type="dxa"/>
              <w:bottom w:w="90" w:type="dxa"/>
              <w:end w:w="100" w:type="dxa"/>
            </w:tcMar>
          </w:tcPr>
          <w:p>
            <w:r>
              <w:rPr>
                <w:sz w:val="17"/>
              </w:rPr>
              <w:t>GET /health should return status ok.</w:t>
            </w:r>
          </w:p>
        </w:tc>
        <w:tc>
          <w:tcPr>
            <w:tcW w:type="dxa" w:w="3331"/>
            <w:tcMar>
              <w:top w:w="90" w:type="dxa"/>
              <w:start w:w="100" w:type="dxa"/>
              <w:bottom w:w="90" w:type="dxa"/>
              <w:end w:w="100" w:type="dxa"/>
            </w:tcMar>
          </w:tcPr>
          <w:p>
            <w:r>
              <w:rPr>
                <w:sz w:val="17"/>
              </w:rPr>
              <w:t>POST /ask in Swagger if time allows.</w:t>
            </w:r>
          </w:p>
        </w:tc>
      </w:tr>
    </w:tbl>
    <w:p>
      <w:pPr>
        <w:pStyle w:val="Heading2"/>
      </w:pPr>
      <w:r>
        <w:t>If something goes wrong</w:t>
      </w:r>
    </w:p>
    <w:p>
      <w:pPr>
        <w:pStyle w:val="ListBullet"/>
        <w:spacing w:after="40"/>
      </w:pPr>
      <w:r>
        <w:t>If NVIDIA response is slow: say the live model call is variable, then use the saved evaluation output or previously observed result; do not claim a new call succeeded.</w:t>
      </w:r>
    </w:p>
    <w:p>
      <w:pPr>
        <w:pStyle w:val="ListBullet"/>
        <w:spacing w:after="40"/>
      </w:pPr>
      <w:r>
        <w:t>If vector indexing fails with a file-lock error: stop Streamlit and Uvicorn, run python scripts/ingest.py once, then restart the services.</w:t>
      </w:r>
    </w:p>
    <w:p>
      <w:pPr>
        <w:pStyle w:val="ListBullet"/>
        <w:spacing w:after="40"/>
      </w:pPr>
      <w:r>
        <w:t>If the source is not the new handbook: explain that retrieval searches all indexed files; for a cleaner demo, stop services, remove conflicting demo files from the configured documents folder, and rebuild the index.</w:t>
      </w:r>
    </w:p>
    <w:p>
      <w:pPr>
        <w:pStyle w:val="ListBullet"/>
        <w:spacing w:after="40"/>
      </w:pPr>
      <w:r>
        <w:t>If a question is not answered in the corpus: demonstrate that the system should state the information is unavailable, not make up a policy.</w:t>
      </w:r>
    </w:p>
    <w:p>
      <w:pPr>
        <w:pStyle w:val="Heading2"/>
      </w:pPr>
      <w:r>
        <w:t>Three questions you may be asked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4263D"/>
            <w:tcMar>
              <w:top w:w="45" w:type="dxa"/>
              <w:start w:w="75" w:type="dxa"/>
              <w:bottom w:w="45" w:type="dxa"/>
              <w:end w:w="75" w:type="dxa"/>
            </w:tcMar>
          </w:tcPr>
          <w:p>
            <w:r>
              <w:rPr>
                <w:b/>
                <w:color w:val="FFFFFF"/>
                <w:sz w:val="16"/>
              </w:rPr>
              <w:t>Likely question</w:t>
            </w:r>
          </w:p>
        </w:tc>
        <w:tc>
          <w:tcPr>
            <w:tcW w:type="dxa" w:w="4997"/>
            <w:shd w:fill="14263D"/>
            <w:tcMar>
              <w:top w:w="45" w:type="dxa"/>
              <w:start w:w="75" w:type="dxa"/>
              <w:bottom w:w="45" w:type="dxa"/>
              <w:end w:w="75" w:type="dxa"/>
            </w:tcMar>
          </w:tcPr>
          <w:p>
            <w:r>
              <w:rPr>
                <w:b/>
                <w:color w:val="FFFFFF"/>
                <w:sz w:val="16"/>
              </w:rPr>
              <w:t>Concise answer</w:t>
            </w:r>
          </w:p>
        </w:tc>
      </w:tr>
      <w:tr>
        <w:tc>
          <w:tcPr>
            <w:tcW w:type="dxa" w:w="4997"/>
            <w:tcMar>
              <w:top w:w="45" w:type="dxa"/>
              <w:start w:w="75" w:type="dxa"/>
              <w:bottom w:w="45" w:type="dxa"/>
              <w:end w:w="75" w:type="dxa"/>
            </w:tcMar>
            <w:shd w:fill="F3F6F9"/>
          </w:tcPr>
          <w:p>
            <w:pPr>
              <w:spacing w:after="0"/>
            </w:pPr>
            <w:r>
              <w:rPr>
                <w:sz w:val="16"/>
              </w:rPr>
              <w:t>How is this different from a basic chatbot?</w:t>
            </w:r>
          </w:p>
        </w:tc>
        <w:tc>
          <w:tcPr>
            <w:tcW w:type="dxa" w:w="4997"/>
            <w:tcMar>
              <w:top w:w="45" w:type="dxa"/>
              <w:start w:w="75" w:type="dxa"/>
              <w:bottom w:w="45" w:type="dxa"/>
              <w:end w:w="75" w:type="dxa"/>
            </w:tcMar>
            <w:shd w:fill="F3F6F9"/>
          </w:tcPr>
          <w:p>
            <w:pPr>
              <w:spacing w:after="0"/>
            </w:pPr>
            <w:r>
              <w:rPr>
                <w:sz w:val="16"/>
              </w:rPr>
              <w:t>It retrieves from the indexed corpus, labels evidence, checks citations and exposes excerpts plus trace IDs.</w:t>
            </w:r>
          </w:p>
        </w:tc>
      </w:tr>
      <w:tr>
        <w:tc>
          <w:tcPr>
            <w:tcW w:type="dxa" w:w="4997"/>
            <w:tcMar>
              <w:top w:w="45" w:type="dxa"/>
              <w:start w:w="75" w:type="dxa"/>
              <w:bottom w:w="45" w:type="dxa"/>
              <w:end w:w="75" w:type="dxa"/>
            </w:tcMar>
          </w:tcPr>
          <w:p>
            <w:pPr>
              <w:spacing w:after="0"/>
            </w:pPr>
            <w:r>
              <w:rPr>
                <w:sz w:val="16"/>
              </w:rPr>
              <w:t>Does citation validation guarantee correctness?</w:t>
            </w:r>
          </w:p>
        </w:tc>
        <w:tc>
          <w:tcPr>
            <w:tcW w:type="dxa" w:w="4997"/>
            <w:tcMar>
              <w:top w:w="45" w:type="dxa"/>
              <w:start w:w="75" w:type="dxa"/>
              <w:bottom w:w="45" w:type="dxa"/>
              <w:end w:w="75" w:type="dxa"/>
            </w:tcMar>
          </w:tcPr>
          <w:p>
            <w:pPr>
              <w:spacing w:after="0"/>
            </w:pPr>
            <w:r>
              <w:rPr>
                <w:sz w:val="16"/>
              </w:rPr>
              <w:t>No. It checks source IDs and citation coverage; semantic groundedness checks are still needed.</w:t>
            </w:r>
          </w:p>
        </w:tc>
      </w:tr>
      <w:tr>
        <w:tc>
          <w:tcPr>
            <w:tcW w:type="dxa" w:w="4997"/>
            <w:tcMar>
              <w:top w:w="45" w:type="dxa"/>
              <w:start w:w="75" w:type="dxa"/>
              <w:bottom w:w="45" w:type="dxa"/>
              <w:end w:w="75" w:type="dxa"/>
            </w:tcMar>
            <w:shd w:fill="F3F6F9"/>
          </w:tcPr>
          <w:p>
            <w:pPr>
              <w:spacing w:after="0"/>
            </w:pPr>
            <w:r>
              <w:rPr>
                <w:sz w:val="16"/>
              </w:rPr>
              <w:t>Is it production-ready?</w:t>
            </w:r>
          </w:p>
        </w:tc>
        <w:tc>
          <w:tcPr>
            <w:tcW w:type="dxa" w:w="4997"/>
            <w:tcMar>
              <w:top w:w="45" w:type="dxa"/>
              <w:start w:w="75" w:type="dxa"/>
              <w:bottom w:w="45" w:type="dxa"/>
              <w:end w:w="75" w:type="dxa"/>
            </w:tcMar>
            <w:shd w:fill="F3F6F9"/>
          </w:tcPr>
          <w:p>
            <w:pPr>
              <w:spacing w:after="0"/>
            </w:pPr>
            <w:r>
              <w:rPr>
                <w:sz w:val="16"/>
              </w:rPr>
              <w:t>Not yet. Production needs SSO/RBAC, document ACLs, approved hosting/secrets, stronger evaluation and security sign-off.</w:t>
            </w:r>
          </w:p>
        </w:tc>
      </w:tr>
    </w:tbl>
    <w:sectPr w:rsidR="00FC693F" w:rsidRPr="0006063C" w:rsidSect="00034616">
      <w:headerReference w:type="default" r:id="rId9"/>
      <w:footerReference w:type="default" r:id="rId10"/>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575"/>
        <w:sz w:val="16"/>
      </w:rPr>
      <w:t xml:space="preserve">15-minute presentation guide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245B7A"/>
        <w:sz w:val="16"/>
      </w:rPr>
      <w:t>ENTERPRISE KNOWLEDGE RESEARCH AGENT  |  SPEAKER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C29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4263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45B7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3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4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Knowledge Research Agent - 15 Minute Speaker Script</dc:title>
  <dc:subject>12-slide presentation talk track with live demo cues</dc:subject>
  <dc:creator>OpenAI</dc:creator>
  <cp:keywords>Enterprise Knowledge Research Agent, presentation, RAG, LangGraph, live demo</cp:keywords>
  <dc:description>generated by python-docx</dc:description>
  <cp:lastModifiedBy/>
  <cp:revision>1</cp:revision>
  <dcterms:created xsi:type="dcterms:W3CDTF">2013-12-23T23:15:00Z</dcterms:created>
  <dcterms:modified xsi:type="dcterms:W3CDTF">2013-12-23T23:15:00Z</dcterms:modified>
  <cp:category/>
</cp:coreProperties>
</file>