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Authentication &amp; Transmission Security (Encryption)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TM-SEC-POL-010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/>
            <w:r>
              <w:t>Security Officer (Raja Gopalan)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Approved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t>2026-06-16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Next review due</w:t>
            </w:r>
          </w:p>
        </w:tc>
        <w:tc>
          <w:tcPr>
            <w:tcW w:type="dxa" w:w="4320"/>
          </w:tcPr>
          <w:p>
            <w:r/>
            <w:r>
              <w:t>2027-06-16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HIPAA citation(s)</w:t>
            </w:r>
          </w:p>
        </w:tc>
        <w:tc>
          <w:tcPr>
            <w:tcW w:type="dxa" w:w="4320"/>
          </w:tcPr>
          <w:p>
            <w:r/>
            <w:r>
              <w:t>45 CFR §164.312(d); §164.312(e)(1); §164.312(e)(2)(ii); §164.312(a)(2)(iv)</w:t>
            </w:r>
          </w:p>
        </w:tc>
      </w:tr>
    </w:tbl>
    <w:p/>
    <w:p>
      <w:pPr>
        <w:pStyle w:val="Heading2"/>
      </w:pPr>
      <w:r>
        <w:t>1. Purpose</w:t>
      </w:r>
    </w:p>
    <w:p>
      <w:r>
        <w:t xml:space="preserve">Define how TogetherMindsAI protects ePHI through </w:t>
      </w:r>
      <w:r>
        <w:rPr>
          <w:b/>
        </w:rPr>
        <w:t>encryption (at rest and in transit), secure transmission, and authentication</w:t>
      </w:r>
      <w:r>
        <w:t xml:space="preserve"> — including how encryption decisions are </w:t>
      </w:r>
      <w:r>
        <w:rPr>
          <w:b/>
        </w:rPr>
        <w:t>evaluated as part of risk management</w:t>
      </w:r>
      <w:r>
        <w:t xml:space="preserve"> and how an </w:t>
      </w:r>
      <w:r>
        <w:rPr>
          <w:b/>
        </w:rPr>
        <w:t>alternative safeguard</w:t>
      </w:r>
      <w:r>
        <w:t xml:space="preserve"> is applied when encryption is not reasonable and appropriate.</w:t>
      </w:r>
    </w:p>
    <w:p>
      <w:pPr>
        <w:pStyle w:val="Heading2"/>
      </w:pPr>
      <w:r>
        <w:t>2. Scope</w:t>
      </w:r>
    </w:p>
    <w:p>
      <w:r>
        <w:t>All ePHI and every system or communication channel that stores or transmits it. Applies to all workforce; clinicians and clients are out of scope.</w:t>
      </w:r>
    </w:p>
    <w:p>
      <w:pPr>
        <w:pStyle w:val="Heading2"/>
      </w:pPr>
      <w:r>
        <w:t>3. Policy statements</w:t>
      </w:r>
    </w:p>
    <w:p>
      <w:pPr>
        <w:pStyle w:val="ListNumber"/>
      </w:pPr>
      <w:r>
        <w:t xml:space="preserve">ePHI is encrypted </w:t>
      </w:r>
      <w:r>
        <w:rPr>
          <w:b/>
        </w:rPr>
        <w:t>at rest</w:t>
      </w:r>
      <w:r>
        <w:t xml:space="preserve"> and </w:t>
      </w:r>
      <w:r>
        <w:rPr>
          <w:b/>
        </w:rPr>
        <w:t>in transit</w:t>
      </w:r>
      <w:r>
        <w:t xml:space="preserve"> wherever reasonable and appropriate.</w:t>
      </w:r>
    </w:p>
    <w:p>
      <w:pPr>
        <w:pStyle w:val="ListNumber"/>
      </w:pPr>
      <w:r>
        <w:t xml:space="preserve">Encryption decisions are </w:t>
      </w:r>
      <w:r>
        <w:rPr>
          <w:b/>
        </w:rPr>
        <w:t>evaluated as part of the risk-management (SRA) process</w:t>
      </w:r>
      <w:r>
        <w:t xml:space="preserve">; where encryption is not reasonable and appropriate for a given ePHI flow, an </w:t>
      </w:r>
      <w:r>
        <w:rPr>
          <w:b/>
        </w:rPr>
        <w:t>equivalent alternative safeguard is documented and implemented</w:t>
      </w:r>
      <w:r>
        <w:t>.</w:t>
      </w:r>
    </w:p>
    <w:p>
      <w:pPr>
        <w:pStyle w:val="ListNumber"/>
      </w:pPr>
      <w:r>
        <w:t>All network transmission of ePHI uses strong transport encryption (</w:t>
      </w:r>
      <w:r>
        <w:rPr>
          <w:b/>
        </w:rPr>
        <w:t>TLS 1.2+</w:t>
      </w:r>
      <w:r>
        <w:t>); plaintext transmission of ePHI is prohibited.</w:t>
      </w:r>
    </w:p>
    <w:p>
      <w:pPr>
        <w:pStyle w:val="ListNumber"/>
      </w:pPr>
      <w:r>
        <w:t>Stored ePHI is protected with strong encryption.</w:t>
      </w:r>
    </w:p>
    <w:p>
      <w:pPr>
        <w:pStyle w:val="ListNumber"/>
      </w:pPr>
      <w:r>
        <w:t xml:space="preserve">Encryption keys are protected, access-restricted, and managed — </w:t>
      </w:r>
      <w:r>
        <w:rPr>
          <w:b/>
        </w:rPr>
        <w:t>no key rotation without re-encryption</w:t>
      </w:r>
      <w:r>
        <w:t>.</w:t>
      </w:r>
    </w:p>
    <w:p>
      <w:pPr>
        <w:pStyle w:val="ListNumber"/>
      </w:pPr>
      <w:r>
        <w:t>Access to ePHI requires authenticated identity (</w:t>
      </w:r>
      <w:r>
        <w:rPr>
          <w:b/>
        </w:rPr>
        <w:t>unique ID + MFA</w:t>
      </w:r>
      <w:r>
        <w:t>).</w:t>
      </w:r>
    </w:p>
    <w:p>
      <w:pPr>
        <w:pStyle w:val="Heading2"/>
      </w:pPr>
      <w:r>
        <w:t>4. Procedures / controls</w:t>
      </w:r>
    </w:p>
    <w:p>
      <w:pPr>
        <w:pStyle w:val="Heading3"/>
      </w:pPr>
      <w:r>
        <w:t>4.1 Encryption at rest — §164.312(a)(2)(iv) (addressable)</w:t>
      </w:r>
    </w:p>
    <w:p>
      <w:pPr>
        <w:pStyle w:val="ListBullet"/>
      </w:pPr>
      <w:r>
        <w:t xml:space="preserve">ePHI message content is encrypted at the </w:t>
      </w:r>
      <w:r>
        <w:rPr>
          <w:b/>
        </w:rPr>
        <w:t>field level using Fernet</w:t>
      </w:r>
      <w:r>
        <w:t xml:space="preserve"> (AES-128-CBC + HMAC) before it is written to the database.</w:t>
      </w:r>
    </w:p>
    <w:p>
      <w:pPr>
        <w:pStyle w:val="ListBullet"/>
      </w:pPr>
      <w:r>
        <w:t xml:space="preserve">The database and its backups run on GCP, which provides </w:t>
      </w:r>
      <w:r>
        <w:rPr>
          <w:b/>
        </w:rPr>
        <w:t>encryption at rest by default</w:t>
      </w:r>
      <w:r>
        <w:t>.</w:t>
      </w:r>
    </w:p>
    <w:p>
      <w:pPr>
        <w:pStyle w:val="ListBullet"/>
      </w:pPr>
      <w:r>
        <w:t>Evaluated as reasonable and appropriate via the SRA, and implemented.</w:t>
      </w:r>
    </w:p>
    <w:p>
      <w:pPr>
        <w:pStyle w:val="Heading3"/>
      </w:pPr>
      <w:r>
        <w:t>4.2 Encryption in transit — §164.312(e)(1) / §164.312(e)(2)(ii) (addressable)</w:t>
      </w:r>
    </w:p>
    <w:p>
      <w:pPr>
        <w:pStyle w:val="ListBullet"/>
      </w:pPr>
      <w:r>
        <w:t xml:space="preserve">All client–server and SocketIO traffic uses </w:t>
      </w:r>
      <w:r>
        <w:rPr>
          <w:b/>
        </w:rPr>
        <w:t>HTTPS / TLS 1.2+</w:t>
      </w:r>
      <w:r>
        <w:t>; HTTP is redirected to HTTPS.</w:t>
      </w:r>
    </w:p>
    <w:p>
      <w:pPr>
        <w:pStyle w:val="ListBullet"/>
      </w:pPr>
      <w:r>
        <w:t xml:space="preserve">Future real-time media (the conferencing build) will use </w:t>
      </w:r>
      <w:r>
        <w:rPr>
          <w:b/>
        </w:rPr>
        <w:t>DTLS-SRTP</w:t>
      </w:r>
      <w:r>
        <w:t>.</w:t>
      </w:r>
    </w:p>
    <w:p>
      <w:pPr>
        <w:pStyle w:val="ListBullet"/>
      </w:pPr>
      <w:r>
        <w:t>Plaintext transmission of ePHI is prohibited.</w:t>
      </w:r>
    </w:p>
    <w:p>
      <w:pPr>
        <w:pStyle w:val="Heading3"/>
      </w:pPr>
      <w:r>
        <w:t>4.3 Addressable-spec evaluation &amp; alternative safeguards</w:t>
      </w:r>
    </w:p>
    <w:p>
      <w:pPr>
        <w:pStyle w:val="ListBullet"/>
      </w:pPr>
      <w:r>
        <w:t xml:space="preserve">Encryption is an </w:t>
      </w:r>
      <w:r>
        <w:rPr>
          <w:b/>
        </w:rPr>
        <w:t>addressable</w:t>
      </w:r>
      <w:r>
        <w:t xml:space="preserve"> specification. It is evaluated during the risk assessment. Where encrypting a specific ePHI flow is determined </w:t>
      </w:r>
      <w:r>
        <w:rPr>
          <w:b/>
        </w:rPr>
        <w:t>not reasonable and appropriate</w:t>
      </w:r>
      <w:r>
        <w:t xml:space="preserve">, the Security Officer </w:t>
      </w:r>
      <w:r>
        <w:rPr>
          <w:b/>
        </w:rPr>
        <w:t>documents the rationale and implements an equivalent alternative safeguard</w:t>
      </w:r>
      <w:r>
        <w:t xml:space="preserve"> (e.g., access controls plus network isolation), recorded in the risk assessment.</w:t>
      </w:r>
    </w:p>
    <w:p>
      <w:pPr>
        <w:pStyle w:val="Heading3"/>
      </w:pPr>
      <w:r>
        <w:t>4.4 Authentication — §164.312(d)</w:t>
      </w:r>
    </w:p>
    <w:p>
      <w:pPr>
        <w:pStyle w:val="ListBullet"/>
      </w:pPr>
      <w:r>
        <w:t xml:space="preserve">Person/entity authentication via </w:t>
      </w:r>
      <w:r>
        <w:rPr>
          <w:b/>
        </w:rPr>
        <w:t>OAuth (Google / Microsoft)</w:t>
      </w:r>
      <w:r>
        <w:t xml:space="preserve"> for clinicians and optional client accounts; </w:t>
      </w:r>
      <w:r>
        <w:rPr>
          <w:b/>
        </w:rPr>
        <w:t>unique user IDs</w:t>
      </w:r>
      <w:r>
        <w:t>; MFA enforced by the identity provider.</w:t>
      </w:r>
    </w:p>
    <w:p>
      <w:pPr>
        <w:pStyle w:val="ListBullet"/>
      </w:pPr>
      <w:r>
        <w:t xml:space="preserve">Service-to-service secrets (API keys) are stored in </w:t>
      </w:r>
      <w:r>
        <w:rPr>
          <w:b/>
        </w:rPr>
        <w:t>GCP Secret Manager</w:t>
      </w:r>
      <w:r>
        <w:t>.</w:t>
      </w:r>
    </w:p>
    <w:p>
      <w:pPr>
        <w:pStyle w:val="Heading3"/>
      </w:pPr>
      <w:r>
        <w:t>4.5 Key management</w:t>
      </w:r>
    </w:p>
    <w:p>
      <w:pPr>
        <w:pStyle w:val="ListBullet"/>
      </w:pPr>
      <w:r>
        <w:t xml:space="preserve">The Fernet field-encryption key and all API keys/secrets are held in </w:t>
      </w:r>
      <w:r>
        <w:rPr>
          <w:b/>
        </w:rPr>
        <w:t>GCP Secret Manager</w:t>
      </w:r>
      <w:r>
        <w:t xml:space="preserve"> with least-privilege access.</w:t>
      </w:r>
    </w:p>
    <w:p>
      <w:pPr>
        <w:pStyle w:val="ListBullet"/>
      </w:pPr>
      <w:r>
        <w:t xml:space="preserve">The field-encryption key is </w:t>
      </w:r>
      <w:r>
        <w:rPr>
          <w:b/>
        </w:rPr>
        <w:t>never rotated without first re-encrypting existing ePHI</w:t>
      </w:r>
      <w:r>
        <w:t xml:space="preserve"> — rotation without re-encryption renders stored ePHI permanently unreadable.</w:t>
      </w:r>
    </w:p>
    <w:p>
      <w:pPr>
        <w:pStyle w:val="Heading2"/>
      </w:pPr>
      <w:r>
        <w:t>5. Roles &amp; responsibilities</w:t>
      </w:r>
    </w:p>
    <w:p>
      <w:pPr>
        <w:pStyle w:val="ListBullet"/>
      </w:pPr>
      <w:r>
        <w:rPr>
          <w:b/>
        </w:rPr>
        <w:t>Security Officer:</w:t>
      </w:r>
      <w:r>
        <w:t xml:space="preserve"> owns encryption/transmission decisions; evaluates addressable specs in the SRA; approves any alternative safeguards.</w:t>
      </w:r>
    </w:p>
    <w:p>
      <w:pPr>
        <w:pStyle w:val="ListBullet"/>
      </w:pPr>
      <w:r>
        <w:rPr>
          <w:b/>
        </w:rPr>
        <w:t>Cloud/Infrastructure Admin:</w:t>
      </w:r>
      <w:r>
        <w:t xml:space="preserve"> implements and verifies TLS, at-rest encryption, key storage, and rotation procedures.</w:t>
      </w:r>
    </w:p>
    <w:p>
      <w:pPr>
        <w:pStyle w:val="ListBullet"/>
      </w:pPr>
      <w:r>
        <w:rPr>
          <w:b/>
        </w:rPr>
        <w:t>Workforce members:</w:t>
      </w:r>
      <w:r>
        <w:t xml:space="preserve"> never store or transmit ePHI outside approved encrypted channels.</w:t>
      </w:r>
    </w:p>
    <w:p>
      <w:pPr>
        <w:pStyle w:val="Heading2"/>
      </w:pPr>
      <w:r>
        <w:t>6. HIPAA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How this policy satisfies it</w:t>
            </w:r>
          </w:p>
        </w:tc>
      </w:tr>
      <w:tr>
        <w:tc>
          <w:tcPr>
            <w:tcW w:type="dxa" w:w="4320"/>
          </w:tcPr>
          <w:p>
            <w:r/>
            <w:r>
              <w:t>§164.312(a)(2)(iv) Encryption &amp; decryption (at rest)</w:t>
            </w:r>
          </w:p>
        </w:tc>
        <w:tc>
          <w:tcPr>
            <w:tcW w:type="dxa" w:w="4320"/>
          </w:tcPr>
          <w:p>
            <w:r/>
            <w:r>
              <w:t>§4.1</w:t>
            </w:r>
          </w:p>
        </w:tc>
      </w:tr>
      <w:tr>
        <w:tc>
          <w:tcPr>
            <w:tcW w:type="dxa" w:w="4320"/>
          </w:tcPr>
          <w:p>
            <w:r/>
            <w:r>
              <w:t>§164.312(e)(1) Transmission Security</w:t>
            </w:r>
          </w:p>
        </w:tc>
        <w:tc>
          <w:tcPr>
            <w:tcW w:type="dxa" w:w="4320"/>
          </w:tcPr>
          <w:p>
            <w:r/>
            <w:r>
              <w:t>§4.2</w:t>
            </w:r>
          </w:p>
        </w:tc>
      </w:tr>
      <w:tr>
        <w:tc>
          <w:tcPr>
            <w:tcW w:type="dxa" w:w="4320"/>
          </w:tcPr>
          <w:p>
            <w:r/>
            <w:r>
              <w:t>§164.312(e)(2)(ii) Encryption (in transit)</w:t>
            </w:r>
          </w:p>
        </w:tc>
        <w:tc>
          <w:tcPr>
            <w:tcW w:type="dxa" w:w="4320"/>
          </w:tcPr>
          <w:p>
            <w:r/>
            <w:r>
              <w:t>§4.2, §4.3</w:t>
            </w:r>
          </w:p>
        </w:tc>
      </w:tr>
      <w:tr>
        <w:tc>
          <w:tcPr>
            <w:tcW w:type="dxa" w:w="4320"/>
          </w:tcPr>
          <w:p>
            <w:r/>
            <w:r>
              <w:t>§164.312(d) Person or entity authentication</w:t>
            </w:r>
          </w:p>
        </w:tc>
        <w:tc>
          <w:tcPr>
            <w:tcW w:type="dxa" w:w="4320"/>
          </w:tcPr>
          <w:p>
            <w:r/>
            <w:r>
              <w:t>§4.4</w:t>
            </w:r>
          </w:p>
        </w:tc>
      </w:tr>
    </w:tbl>
    <w:p/>
    <w:p>
      <w:pPr>
        <w:pStyle w:val="Heading2"/>
      </w:pPr>
      <w:r>
        <w:t>7. Enforcement &amp; sanctions</w:t>
      </w:r>
    </w:p>
    <w:p>
      <w:r>
        <w:t>Violations are handled per the Workforce Security &amp; Sanction Policy (TM-SEC-POL-003).</w:t>
      </w:r>
    </w:p>
    <w:p>
      <w:pPr>
        <w:pStyle w:val="Heading2"/>
      </w:pPr>
      <w:r>
        <w:t>8. Exceptions</w:t>
      </w:r>
    </w:p>
    <w:p>
      <w:r>
        <w:t>Time-bound exceptions require Security Officer approval with documented justification, compensating controls, and an expiry/review date. Encryption exceptions are also recorded in the SRA per §4.3.</w:t>
      </w:r>
    </w:p>
    <w:p>
      <w:pPr>
        <w:pStyle w:val="Heading2"/>
      </w:pPr>
      <w:r>
        <w:t>9. Related documents</w:t>
      </w:r>
    </w:p>
    <w:p>
      <w:pPr>
        <w:pStyle w:val="ListBullet"/>
      </w:pPr>
      <w:r>
        <w:t>TM-SEC-POL-004 — Information Access Management &amp; Access Control</w:t>
      </w:r>
    </w:p>
    <w:p>
      <w:pPr>
        <w:pStyle w:val="ListBullet"/>
      </w:pPr>
      <w:r>
        <w:t>TM-SEC-POL-009 — Audit Controls, Logging &amp; Monitoring</w:t>
      </w:r>
    </w:p>
    <w:p>
      <w:pPr>
        <w:pStyle w:val="ListBullet"/>
      </w:pPr>
      <w:r>
        <w:rPr>
          <w:rFonts w:ascii="Consolas" w:hAnsi="Consolas"/>
        </w:rPr>
        <w:t>workforce-roles-ephi-access.docx</w:t>
      </w:r>
      <w:r>
        <w:t xml:space="preserve"> (TM-SEC-JD-001)</w:t>
      </w:r>
    </w:p>
    <w:p>
      <w:pPr>
        <w:pStyle w:val="ListBullet"/>
      </w:pPr>
      <w:r>
        <w:rPr>
          <w:rFonts w:ascii="Consolas" w:hAnsi="Consolas"/>
        </w:rPr>
        <w:t>sra_assets.csv</w:t>
      </w:r>
      <w:r>
        <w:t xml:space="preserve"> — encryption status per asset</w:t>
      </w:r>
    </w:p>
    <w:p>
      <w:pPr>
        <w:pStyle w:val="ListBullet"/>
      </w:pPr>
      <w:r>
        <w:rPr>
          <w:rFonts w:ascii="Consolas" w:hAnsi="Consolas"/>
        </w:rPr>
        <w:t>security-policy-management-process.docx</w:t>
      </w:r>
      <w:r>
        <w:t xml:space="preserve"> (TM-SEC-PROC-001)</w:t>
      </w:r>
    </w:p>
    <w:p>
      <w:pPr>
        <w:pStyle w:val="Heading2"/>
      </w:pPr>
      <w:r>
        <w:t>10. Review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Approver</w:t>
            </w:r>
          </w:p>
        </w:tc>
      </w:tr>
      <w:tr>
        <w:tc>
          <w:tcPr>
            <w:tcW w:type="dxa" w:w="1728"/>
          </w:tcPr>
          <w:p>
            <w:r/>
            <w:r>
              <w:t>1.0</w:t>
            </w:r>
          </w:p>
        </w:tc>
        <w:tc>
          <w:tcPr>
            <w:tcW w:type="dxa" w:w="1728"/>
          </w:tcPr>
          <w:p>
            <w:r/>
            <w:r>
              <w:t>2026-06-16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  <w:tc>
          <w:tcPr>
            <w:tcW w:type="dxa" w:w="1728"/>
          </w:tcPr>
          <w:p>
            <w:r/>
            <w:r>
              <w:t>Initial version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</w:tr>
    </w:tbl>
    <w:p/>
    <w:p>
      <w:pPr>
        <w:pStyle w:val="Heading2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Approved by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Raja Gopalan</w:t>
            </w:r>
          </w:p>
        </w:tc>
        <w:tc>
          <w:tcPr>
            <w:tcW w:type="dxa" w:w="2160"/>
          </w:tcPr>
          <w:p>
            <w:r/>
            <w:r>
              <w:t>Security Officer</w:t>
            </w:r>
          </w:p>
        </w:tc>
        <w:tc>
          <w:tcPr>
            <w:tcW w:type="dxa" w:w="2160"/>
          </w:tcPr>
          <w:p>
            <w:r/>
            <w:r>
              <w:t>2026-06-16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