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security-policy-management-process.md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1234"/>
          </w:tcPr>
          <w:p>
            <w:r/>
            <w:r>
              <w:t>0.1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</w:tbl>
    <w:p/>
    <w:p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Markdown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policy-template.md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security-policy-management-process.md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policy-template.md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workforce-roles-ephi-access.md</w:t>
      </w:r>
      <w:r>
        <w:t xml:space="preserve"> (TM‑SEC‑JD‑001) — workforce job descriptions, ePHI access scope &amp; required qualifications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