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Workforce Security &amp; Sanction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TM‑SEC‑POL‑003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[Security Officer]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0.1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Draft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[YYYY-MM-DD]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[YYYY-MM-DD — ≤12 months]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§164.308(a)(3); §164.308(a)(1)(ii)(C); §164.308(a)(4)</w:t>
            </w:r>
          </w:p>
        </w:tc>
      </w:tr>
    </w:tbl>
    <w:p/>
    <w:p>
      <w:pPr>
        <w:pStyle w:val="Heading2"/>
      </w:pPr>
      <w:r>
        <w:t>1. Purpose</w:t>
      </w:r>
    </w:p>
    <w:p>
      <w:r>
        <w:t xml:space="preserve">Ensure every workforce member who can access ePHI is appropriately </w:t>
      </w:r>
      <w:r>
        <w:rPr>
          <w:b/>
        </w:rPr>
        <w:t>authorized, screened, trained, and supervised</w:t>
      </w:r>
      <w:r>
        <w:t xml:space="preserve">; that access is </w:t>
      </w:r>
      <w:r>
        <w:rPr>
          <w:b/>
        </w:rPr>
        <w:t>removed promptly</w:t>
      </w:r>
      <w:r>
        <w:t xml:space="preserve"> when no longer needed; and that violations of security/privacy policies are addressed through </w:t>
      </w:r>
      <w:r>
        <w:rPr>
          <w:b/>
        </w:rPr>
        <w:t>consistent, documented sanctions</w:t>
      </w:r>
      <w:r>
        <w:t>.</w:t>
      </w:r>
    </w:p>
    <w:p>
      <w:pPr>
        <w:pStyle w:val="Heading2"/>
      </w:pPr>
      <w:r>
        <w:t>2. Scope</w:t>
      </w:r>
    </w:p>
    <w:p>
      <w:r>
        <w:t xml:space="preserve">All TogetherMindsAI workforce (employees, contractors) with access to ePHI or the systems that store or transmit it. </w:t>
      </w:r>
      <w:r>
        <w:rPr>
          <w:b/>
        </w:rPr>
        <w:t>Out of scope:</w:t>
      </w:r>
      <w:r>
        <w:t xml:space="preserve"> clinicians (Covered Entities) and clients (data subjects) — they are not TogetherMindsAI workforce.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Access to ePHI is granted </w:t>
      </w:r>
      <w:r>
        <w:rPr>
          <w:b/>
        </w:rPr>
        <w:t>only after</w:t>
      </w:r>
      <w:r>
        <w:t xml:space="preserve"> authorization, a signed confidentiality/acceptable‑use agreement, and completed HIPAA training (per TM‑SEC‑JD‑001).</w:t>
      </w:r>
    </w:p>
    <w:p>
      <w:pPr>
        <w:pStyle w:val="ListNumber"/>
      </w:pPr>
      <w:r>
        <w:t xml:space="preserve">Access follows </w:t>
      </w:r>
      <w:r>
        <w:rPr>
          <w:b/>
        </w:rPr>
        <w:t>least‑privilege / minimum‑necessary</w:t>
      </w:r>
      <w:r>
        <w:t xml:space="preserve"> and is documented.</w:t>
      </w:r>
    </w:p>
    <w:p>
      <w:pPr>
        <w:pStyle w:val="ListNumber"/>
      </w:pPr>
      <w:r>
        <w:rPr>
          <w:b/>
        </w:rPr>
        <w:t>Privileged roles</w:t>
      </w:r>
      <w:r>
        <w:t xml:space="preserve"> (Security Officer, Cloud/Infra Admin) require a background check appropriate to the access level before access is granted.</w:t>
      </w:r>
    </w:p>
    <w:p>
      <w:pPr>
        <w:pStyle w:val="ListNumber"/>
      </w:pPr>
      <w:r>
        <w:t xml:space="preserve">Workforce activity involving ePHI is </w:t>
      </w:r>
      <w:r>
        <w:rPr>
          <w:b/>
        </w:rPr>
        <w:t>supervised and audit‑logged</w:t>
      </w:r>
      <w:r>
        <w:t>.</w:t>
      </w:r>
    </w:p>
    <w:p>
      <w:pPr>
        <w:pStyle w:val="ListNumber"/>
      </w:pPr>
      <w:r>
        <w:t xml:space="preserve">Access is </w:t>
      </w:r>
      <w:r>
        <w:rPr>
          <w:b/>
        </w:rPr>
        <w:t>reviewed at least annually</w:t>
      </w:r>
      <w:r>
        <w:t xml:space="preserve"> and on any role change.</w:t>
      </w:r>
    </w:p>
    <w:p>
      <w:pPr>
        <w:pStyle w:val="ListNumber"/>
      </w:pPr>
      <w:r>
        <w:t xml:space="preserve">Access is </w:t>
      </w:r>
      <w:r>
        <w:rPr>
          <w:b/>
        </w:rPr>
        <w:t>revoked immediately</w:t>
      </w:r>
      <w:r>
        <w:t xml:space="preserve"> on termination or role change (target: same business day).</w:t>
      </w:r>
    </w:p>
    <w:p>
      <w:pPr>
        <w:pStyle w:val="ListNumber"/>
      </w:pPr>
      <w:r>
        <w:t xml:space="preserve">Violations are </w:t>
      </w:r>
      <w:r>
        <w:rPr>
          <w:b/>
        </w:rPr>
        <w:t>investigated and sanctioned consistently</w:t>
      </w:r>
      <w:r>
        <w:t>, regardless of the member's role or seniority.</w:t>
      </w:r>
    </w:p>
    <w:p>
      <w:pPr>
        <w:pStyle w:val="ListNumber"/>
      </w:pPr>
      <w:r>
        <w:t xml:space="preserve">All sanctions are </w:t>
      </w:r>
      <w:r>
        <w:rPr>
          <w:b/>
        </w:rPr>
        <w:t>documented and retained</w:t>
      </w:r>
      <w:r>
        <w:t xml:space="preserve"> (6 years).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Authorization &amp; onboarding</w:t>
      </w:r>
    </w:p>
    <w:p>
      <w:pPr>
        <w:pStyle w:val="ListBullet"/>
      </w:pPr>
      <w:r>
        <w:t>Security Officer authorizes access based on the role definition (TM‑SEC‑JD‑001).</w:t>
      </w:r>
    </w:p>
    <w:p>
      <w:pPr>
        <w:pStyle w:val="ListBullet"/>
      </w:pPr>
      <w:r>
        <w:t>Member signs the confidentiality / acceptable‑use agreement.</w:t>
      </w:r>
    </w:p>
    <w:p>
      <w:pPr>
        <w:pStyle w:val="ListBullet"/>
      </w:pPr>
      <w:r>
        <w:t xml:space="preserve">Member completes HIPAA training </w:t>
      </w:r>
      <w:r>
        <w:rPr>
          <w:b/>
        </w:rPr>
        <w:t>before</w:t>
      </w:r>
      <w:r>
        <w:t xml:space="preserve"> access is granted.</w:t>
      </w:r>
    </w:p>
    <w:p>
      <w:pPr>
        <w:pStyle w:val="ListBullet"/>
      </w:pPr>
      <w:r>
        <w:t xml:space="preserve">Access is provisioned least‑privilege via the Access Management policy (TM‑SEC‑POL‑004); </w:t>
      </w:r>
      <w:r>
        <w:rPr>
          <w:b/>
        </w:rPr>
        <w:t>unique credentials + MFA</w:t>
      </w:r>
      <w:r>
        <w:t>.</w:t>
      </w:r>
    </w:p>
    <w:p>
      <w:pPr>
        <w:pStyle w:val="Heading3"/>
      </w:pPr>
      <w:r>
        <w:t>4.2 Workforce clearance (screening)</w:t>
      </w:r>
    </w:p>
    <w:p>
      <w:pPr>
        <w:pStyle w:val="ListBullet"/>
      </w:pPr>
      <w:r>
        <w:t>A background check appropriate to the role is completed for privileged positions before access is granted, where legally permitted.</w:t>
      </w:r>
    </w:p>
    <w:p>
      <w:pPr>
        <w:pStyle w:val="Heading3"/>
      </w:pPr>
      <w:r>
        <w:t>4.3 Supervision &amp; ongoing review</w:t>
      </w:r>
    </w:p>
    <w:p>
      <w:pPr>
        <w:pStyle w:val="ListBullet"/>
      </w:pPr>
      <w:r>
        <w:t>ePHI activity is logged (Audit Controls, TM‑SEC‑POL‑009).</w:t>
      </w:r>
    </w:p>
    <w:p>
      <w:pPr>
        <w:pStyle w:val="ListBullet"/>
      </w:pPr>
      <w:r>
        <w:t>Access is reviewed at least annually; excess or stale access is corrected promptly.</w:t>
      </w:r>
    </w:p>
    <w:p>
      <w:pPr>
        <w:pStyle w:val="Heading3"/>
      </w:pPr>
      <w:r>
        <w:t>4.4 Termination / role change</w:t>
      </w:r>
    </w:p>
    <w:p>
      <w:pPr>
        <w:pStyle w:val="ListBullet"/>
      </w:pPr>
      <w:r>
        <w:t xml:space="preserve">On notice of termination or role change, the Security Officer / Admin </w:t>
      </w:r>
      <w:r>
        <w:rPr>
          <w:b/>
        </w:rPr>
        <w:t>revokes all access</w:t>
      </w:r>
      <w:r>
        <w:t xml:space="preserve"> — accounts, API keys, OAuth sessions, devices — target </w:t>
      </w:r>
      <w:r>
        <w:rPr>
          <w:b/>
        </w:rPr>
        <w:t>same business day</w:t>
      </w:r>
      <w:r>
        <w:t>.</w:t>
      </w:r>
    </w:p>
    <w:p>
      <w:pPr>
        <w:pStyle w:val="ListBullet"/>
      </w:pPr>
      <w:r>
        <w:t xml:space="preserve">Recover or wipe issued devices; </w:t>
      </w:r>
      <w:r>
        <w:rPr>
          <w:b/>
        </w:rPr>
        <w:t>rotate any shared secrets</w:t>
      </w:r>
      <w:r>
        <w:t xml:space="preserve"> the member could have known.</w:t>
      </w:r>
    </w:p>
    <w:p>
      <w:pPr>
        <w:pStyle w:val="ListBullet"/>
      </w:pPr>
      <w:r>
        <w:t>Record the revocation (what, when, by whom).</w:t>
      </w:r>
    </w:p>
    <w:p>
      <w:pPr>
        <w:pStyle w:val="Heading3"/>
      </w:pPr>
      <w:r>
        <w:t>4.5 Sanctions process</w:t>
      </w:r>
    </w:p>
    <w:p>
      <w:pPr>
        <w:pStyle w:val="ListNumber"/>
      </w:pPr>
      <w:r>
        <w:t>A reported or discovered violation is escalated to the Security Officer.</w:t>
      </w:r>
    </w:p>
    <w:p>
      <w:pPr>
        <w:pStyle w:val="ListNumber"/>
      </w:pPr>
      <w:r>
        <w:t xml:space="preserve">The Security Officer investigates and </w:t>
      </w:r>
      <w:r>
        <w:rPr>
          <w:b/>
        </w:rPr>
        <w:t>documents</w:t>
      </w:r>
      <w:r>
        <w:t xml:space="preserve"> the findings.</w:t>
      </w:r>
    </w:p>
    <w:p>
      <w:pPr>
        <w:pStyle w:val="ListNumber"/>
      </w:pPr>
      <w:r>
        <w:t xml:space="preserve">A sanction is applied per the tiers in §7, </w:t>
      </w:r>
      <w:r>
        <w:rPr>
          <w:b/>
        </w:rPr>
        <w:t>consistently</w:t>
      </w:r>
      <w:r>
        <w:t xml:space="preserve"> across roles.</w:t>
      </w:r>
    </w:p>
    <w:p>
      <w:pPr>
        <w:pStyle w:val="ListNumber"/>
      </w:pPr>
      <w:r>
        <w:t>The action is recorded in the member's file and retained.</w:t>
      </w:r>
    </w:p>
    <w:p>
      <w:pPr>
        <w:pStyle w:val="ListNumber"/>
      </w:pPr>
      <w:r>
        <w:t xml:space="preserve">Contributing controls are reviewed to prevent recurrence; if ePHI was exposed, the </w:t>
      </w:r>
      <w:r>
        <w:rPr>
          <w:b/>
        </w:rPr>
        <w:t>Breach Notification</w:t>
      </w:r>
      <w:r>
        <w:t xml:space="preserve"> process (TM‑SEC‑POL‑012) is triggered.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Security Officer:</w:t>
      </w:r>
      <w:r>
        <w:t xml:space="preserve"> authorize/review access; investigate violations; decide and document sanctions; maintain records.</w:t>
      </w:r>
    </w:p>
    <w:p>
      <w:pPr>
        <w:pStyle w:val="ListBullet"/>
      </w:pPr>
      <w:r>
        <w:rPr>
          <w:b/>
        </w:rPr>
        <w:t>Cloud/Infra Admin:</w:t>
      </w:r>
      <w:r>
        <w:t xml:space="preserve"> execute provisioning and immediate de‑provisioning.</w:t>
      </w:r>
    </w:p>
    <w:p>
      <w:pPr>
        <w:pStyle w:val="ListBullet"/>
      </w:pPr>
      <w:r>
        <w:rPr>
          <w:b/>
        </w:rPr>
        <w:t>Owner/Manager:</w:t>
      </w:r>
      <w:r>
        <w:t xml:space="preserve"> report issues; support consistent enforcement.</w:t>
      </w:r>
    </w:p>
    <w:p>
      <w:pPr>
        <w:pStyle w:val="ListBullet"/>
      </w:pPr>
      <w:r>
        <w:rPr>
          <w:b/>
        </w:rPr>
        <w:t>All workforce:</w:t>
      </w:r>
      <w:r>
        <w:t xml:space="preserve"> comply with policy; report suspected violations and incidents.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§164.308(a)(3)(ii)(A) Authorization &amp; Supervision</w:t>
            </w:r>
          </w:p>
        </w:tc>
        <w:tc>
          <w:tcPr>
            <w:tcW w:type="dxa" w:w="4320"/>
          </w:tcPr>
          <w:p>
            <w:r/>
            <w:r>
              <w:t>§4.1, §4.3</w:t>
            </w:r>
          </w:p>
        </w:tc>
      </w:tr>
      <w:tr>
        <w:tc>
          <w:tcPr>
            <w:tcW w:type="dxa" w:w="4320"/>
          </w:tcPr>
          <w:p>
            <w:r/>
            <w:r>
              <w:t>§164.308(a)(3)(ii)(B) Workforce Clearance</w:t>
            </w:r>
          </w:p>
        </w:tc>
        <w:tc>
          <w:tcPr>
            <w:tcW w:type="dxa" w:w="4320"/>
          </w:tcPr>
          <w:p>
            <w:r/>
            <w:r>
              <w:t>§4.2</w:t>
            </w:r>
          </w:p>
        </w:tc>
      </w:tr>
      <w:tr>
        <w:tc>
          <w:tcPr>
            <w:tcW w:type="dxa" w:w="4320"/>
          </w:tcPr>
          <w:p>
            <w:r/>
            <w:r>
              <w:t>§164.308(a)(3)(ii)(C) Termination Procedures</w:t>
            </w:r>
          </w:p>
        </w:tc>
        <w:tc>
          <w:tcPr>
            <w:tcW w:type="dxa" w:w="4320"/>
          </w:tcPr>
          <w:p>
            <w:r/>
            <w:r>
              <w:t>§4.4</w:t>
            </w:r>
          </w:p>
        </w:tc>
      </w:tr>
      <w:tr>
        <w:tc>
          <w:tcPr>
            <w:tcW w:type="dxa" w:w="4320"/>
          </w:tcPr>
          <w:p>
            <w:r/>
            <w:r>
              <w:t>§164.308(a)(1)(ii)(C) Sanction Policy</w:t>
            </w:r>
          </w:p>
        </w:tc>
        <w:tc>
          <w:tcPr>
            <w:tcW w:type="dxa" w:w="4320"/>
          </w:tcPr>
          <w:p>
            <w:r/>
            <w:r>
              <w:t>§4.5, §7</w:t>
            </w:r>
          </w:p>
        </w:tc>
      </w:tr>
      <w:tr>
        <w:tc>
          <w:tcPr>
            <w:tcW w:type="dxa" w:w="4320"/>
          </w:tcPr>
          <w:p>
            <w:r/>
            <w:r>
              <w:t>§164.308(a)(4) Information Access Management</w:t>
            </w:r>
          </w:p>
        </w:tc>
        <w:tc>
          <w:tcPr>
            <w:tcW w:type="dxa" w:w="4320"/>
          </w:tcPr>
          <w:p>
            <w:r/>
            <w:r>
              <w:t>§4.1 (via TM‑SEC‑POL‑004)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Sanctions are applied by severity, intent, and recurrence — and consistently across all 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Typical sanction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 — Minor / unintentional</w:t>
            </w:r>
          </w:p>
        </w:tc>
        <w:tc>
          <w:tcPr>
            <w:tcW w:type="dxa" w:w="2880"/>
          </w:tcPr>
          <w:p>
            <w:r/>
            <w:r>
              <w:t>First‑time minor lapse, no PHI exposure</w:t>
            </w:r>
          </w:p>
        </w:tc>
        <w:tc>
          <w:tcPr>
            <w:tcW w:type="dxa" w:w="2880"/>
          </w:tcPr>
          <w:p>
            <w:r/>
            <w:r>
              <w:t>Verbal warning + retraining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 — Moderate</w:t>
            </w:r>
          </w:p>
        </w:tc>
        <w:tc>
          <w:tcPr>
            <w:tcW w:type="dxa" w:w="2880"/>
          </w:tcPr>
          <w:p>
            <w:r/>
            <w:r>
              <w:t>Repeated lapses; negligent handling; limited PHI exposure</w:t>
            </w:r>
          </w:p>
        </w:tc>
        <w:tc>
          <w:tcPr>
            <w:tcW w:type="dxa" w:w="2880"/>
          </w:tcPr>
          <w:p>
            <w:r/>
            <w:r>
              <w:t>Written warning + mandatory retraining + access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 — Serious</w:t>
            </w:r>
          </w:p>
        </w:tc>
        <w:tc>
          <w:tcPr>
            <w:tcW w:type="dxa" w:w="2880"/>
          </w:tcPr>
          <w:p>
            <w:r/>
            <w:r>
              <w:t>Deliberate unauthorized access; significant exposure; credential sharing</w:t>
            </w:r>
          </w:p>
        </w:tc>
        <w:tc>
          <w:tcPr>
            <w:tcW w:type="dxa" w:w="2880"/>
          </w:tcPr>
          <w:p>
            <w:r/>
            <w:r>
              <w:t>Access suspension + formal disciplinary 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 — Severe</w:t>
            </w:r>
          </w:p>
        </w:tc>
        <w:tc>
          <w:tcPr>
            <w:tcW w:type="dxa" w:w="2880"/>
          </w:tcPr>
          <w:p>
            <w:r/>
            <w:r>
              <w:t>Intentional misuse/theft of PHI; malicious acts</w:t>
            </w:r>
          </w:p>
        </w:tc>
        <w:tc>
          <w:tcPr>
            <w:tcW w:type="dxa" w:w="2880"/>
          </w:tcPr>
          <w:p>
            <w:r/>
            <w:r>
              <w:t>Termination; referral to authorities; breach process</w:t>
            </w:r>
          </w:p>
        </w:tc>
      </w:tr>
    </w:tbl>
    <w:p/>
    <w:p>
      <w:r>
        <w:t>All sanctions are documented; repeat violations escalate to the next tier.</w:t>
      </w:r>
    </w:p>
    <w:p>
      <w:pPr>
        <w:pStyle w:val="Heading2"/>
      </w:pPr>
      <w:r>
        <w:t>8. Exceptions</w:t>
      </w:r>
    </w:p>
    <w:p>
      <w:r>
        <w:t>Time‑bound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rPr>
          <w:rFonts w:ascii="Consolas" w:hAnsi="Consolas"/>
        </w:rPr>
        <w:t>workforce-roles-ephi-access.md</w:t>
      </w:r>
      <w:r>
        <w:t xml:space="preserve"> (TM‑SEC‑JD‑001)</w:t>
      </w:r>
    </w:p>
    <w:p>
      <w:pPr>
        <w:pStyle w:val="ListBullet"/>
      </w:pPr>
      <w:r>
        <w:t>TM‑SEC‑POL‑004 — Information Access Management &amp; Access Control</w:t>
      </w:r>
    </w:p>
    <w:p>
      <w:pPr>
        <w:pStyle w:val="ListBullet"/>
      </w:pPr>
      <w:r>
        <w:t>TM‑SEC‑POL‑005 — Security Awareness &amp; Training</w:t>
      </w:r>
    </w:p>
    <w:p>
      <w:pPr>
        <w:pStyle w:val="ListBullet"/>
      </w:pPr>
      <w:r>
        <w:t>TM‑SEC‑POL‑009 — Audit Controls, Logging &amp; Monitoring</w:t>
      </w:r>
    </w:p>
    <w:p>
      <w:pPr>
        <w:pStyle w:val="ListBullet"/>
      </w:pPr>
      <w:r>
        <w:t>TM‑SEC‑POL‑012 — Breach Notification</w:t>
      </w:r>
    </w:p>
    <w:p>
      <w:pPr>
        <w:pStyle w:val="ListBullet"/>
      </w:pPr>
      <w:r>
        <w:rPr>
          <w:rFonts w:ascii="Consolas" w:hAnsi="Consolas"/>
        </w:rPr>
        <w:t>security-policy-management-process.md</w:t>
      </w:r>
      <w:r>
        <w:t xml:space="preserve"> (TM‑SEC‑PROC‑001)</w:t>
      </w:r>
    </w:p>
    <w:p>
      <w:pPr>
        <w:pStyle w:val="Heading2"/>
      </w:pPr>
      <w:r>
        <w:t>10. 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0.1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[date]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[name]</w:t>
            </w:r>
          </w:p>
        </w:tc>
        <w:tc>
          <w:tcPr>
            <w:tcW w:type="dxa" w:w="1728"/>
          </w:tcPr>
          <w:p>
            <w:r/>
            <w:r>
              <w:t>Initial draft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[x.y]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[name]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[Security Officer]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[YYYY-MM-DD]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