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TogetherMindsAI — EU AI Act: Internal Documentation</w:t>
      </w:r>
    </w:p>
    <w:p>
      <w:r>
        <w:rPr>
          <w:i/>
          <w:color w:val="92270F"/>
        </w:rPr>
        <w:t>DRAFT for legal/compliance review — not a conformity declaration</w:t>
      </w:r>
    </w:p>
    <w:p>
      <w:r>
        <w:t>Operator: Global Business Consulting, Inc. (GBCai4org)   |   Generated: 2026-06-20</w:t>
      </w:r>
    </w:p>
    <w:p>
      <w:r>
        <w:t>Scope: the AI features of TogetherMindsAI — live speech-to-text transcription, the clinician co-pilot (suggestions, risk/crisis detection, ICD reference grounding), and AI-generated session summaries.</w:t>
      </w:r>
    </w:p>
    <w:p>
      <w:pPr>
        <w:pStyle w:val="Heading1"/>
      </w:pPr>
      <w:r>
        <w:rPr>
          <w:color w:val="1E7840"/>
        </w:rPr>
        <w:t>1. Document purpose &amp; status</w:t>
      </w:r>
    </w:p>
    <w:p>
      <w:r>
        <w:t>This document collects the internal records relevant to the EU AI Act for the AI features of TogetherMindsAI. It is a working draft prepared by the engineering team to support a formal compliance/legal assessment. It is NOT a conformity assessment, NOT legal advice, and NOT an EU declaration of conformity. Statements about classification (high-risk) and about provider vs. deployer roles must be confirmed by qualified counsel before being relied upon.</w:t>
      </w:r>
    </w:p>
    <w:p>
      <w:pPr>
        <w:pStyle w:val="Heading1"/>
      </w:pPr>
      <w:r>
        <w:rPr>
          <w:color w:val="1E7840"/>
        </w:rPr>
        <w:t>2. System description &amp; intended purpose</w:t>
      </w:r>
    </w:p>
    <w:p>
      <w:r>
        <w:t>TogetherMindsAI is a clinician-led tele-mental-health tool. A licensed clinician runs a real-time session (text and optional audio/video) with one or more clients. AI is used in three assistive ways:</w:t>
      </w:r>
    </w:p>
    <w:p>
      <w:pPr>
        <w:pStyle w:val="ListBullet"/>
      </w:pPr>
      <w:r>
        <w:t>Transcription — spoken audio is converted to text in real time (provider: AssemblyAI). Audio is not recorded by default; only the text is retained in the clinical record.</w:t>
      </w:r>
    </w:p>
    <w:p>
      <w:pPr>
        <w:pStyle w:val="ListBullet"/>
      </w:pPr>
      <w:r>
        <w:t>Clinician co-pilot — a private panel, visible only to the clinician, that suggests questions/techniques, surfaces ICD-10/11 reference entries (decision support, not diagnoses), and raises keyword-based risk/crisis alerts (model: Anthropic Claude; local embedding model for ICD retrieval).</w:t>
      </w:r>
    </w:p>
    <w:p>
      <w:pPr>
        <w:pStyle w:val="ListBullet"/>
      </w:pPr>
      <w:r>
        <w:t>Session summaries — an AI-generated clinical recap, billing-code reference, and a client-facing draft, all visible only to the clinician (model: Anthropic Claude).</w:t>
      </w:r>
    </w:p>
    <w:p>
      <w:r>
        <w:t>Intended purpose: assistive decision support for a licensed clinician during a session. The system is NOT an autonomous or stand-alone medical device, does not diagnose or treat, and does not make decisions about a person's care.</w:t>
      </w:r>
    </w:p>
    <w:p>
      <w:r>
        <w:t>Foreseeable misuse to guard against: treating AI suggestions or ICD references as diagnoses; relying on transcription verbatim without clinician review; using the tool without a supervising clinician.</w:t>
      </w:r>
    </w:p>
    <w:p>
      <w:pPr>
        <w:pStyle w:val="Heading1"/>
      </w:pPr>
      <w:r>
        <w:rPr>
          <w:color w:val="1E7840"/>
        </w:rPr>
        <w:t>3. Classification &amp; roles</w:t>
      </w:r>
    </w:p>
    <w:p>
      <w:pPr>
        <w:pStyle w:val="ListBullet"/>
      </w:pPr>
      <w:r>
        <w:t>Risk classification: an AI system intended for use in a mental-health context is likely 'high-risk' under the EU AI Act. To be confirmed by counsel.</w:t>
      </w:r>
    </w:p>
    <w:p>
      <w:pPr>
        <w:pStyle w:val="ListBullet"/>
      </w:pPr>
      <w:r>
        <w:t>Provider vs. deployer: we DEPLOY a third-party general-purpose model (Anthropic) within our product; we do not train or develop the underlying model, so we are most likely a 'deployer'. If our integration is deemed to place a high-risk AI system on the EU market under our name, we could be treated as a 'provider', which carries the full provider obligations. To be determined by counsel.</w:t>
      </w:r>
    </w:p>
    <w:p>
      <w:pPr>
        <w:pStyle w:val="ListBullet"/>
      </w:pPr>
      <w:r>
        <w:t>Territorial scope: obligations attach where the system is used by, or affects, persons in the EU — confirm the EU footprint.</w:t>
      </w:r>
    </w:p>
    <w:p>
      <w:pPr>
        <w:pStyle w:val="Heading1"/>
      </w:pPr>
      <w:r>
        <w:rPr>
          <w:color w:val="1E7840"/>
        </w:rPr>
        <w:t>4. Risk management system</w:t>
      </w:r>
    </w:p>
    <w:p>
      <w:r>
        <w:t>Identified risks and current mitigations:</w:t>
      </w:r>
    </w:p>
    <w:p>
      <w:pPr>
        <w:pStyle w:val="ListBullet"/>
      </w:pPr>
      <w:r>
        <w:t>False or missed crisis detection — keyword detection is a safety net, not a substitute for clinical judgment; every utterance is also seen by the supervising clinician, who is alerted, and the client is shown crisis resources. Mitigation: human oversight; documented limitation.</w:t>
      </w:r>
    </w:p>
    <w:p>
      <w:pPr>
        <w:pStyle w:val="ListBullet"/>
      </w:pPr>
      <w:r>
        <w:t>Inaccurate transcription — the clinician reviews the transcript; audio is transient. Mitigation: human review; clear limitation disclosure.</w:t>
      </w:r>
    </w:p>
    <w:p>
      <w:pPr>
        <w:pStyle w:val="ListBullet"/>
      </w:pPr>
      <w:r>
        <w:t>Fabricated/misattributed AI suggestions — the advisor prompt is constrained to ground claims in the transcript and attribute statements to the correct speaker; the clinician reviews all output. Mitigation: prompt controls + human oversight.</w:t>
      </w:r>
    </w:p>
    <w:p>
      <w:pPr>
        <w:pStyle w:val="ListBullet"/>
      </w:pPr>
      <w:r>
        <w:t>Inappropriate diagnostic reliance — ICD references are labeled decision-support, codes are read from a curated corpus (never model-generated), with explicit 'not a diagnosis' framing.</w:t>
      </w:r>
    </w:p>
    <w:p>
      <w:pPr>
        <w:pStyle w:val="ListBullet"/>
      </w:pPr>
      <w:r>
        <w:t>Over-reliance / automation bias — AI is framed as assistive; the clinician retains control.</w:t>
      </w:r>
    </w:p>
    <w:p>
      <w:pPr>
        <w:pStyle w:val="ListBullet"/>
      </w:pPr>
      <w:r>
        <w:t>Bias/fairness — to be assessed; the underlying model is third-party. Action: document the evaluation approach with counsel.</w:t>
      </w:r>
    </w:p>
    <w:p>
      <w:r>
        <w:t>Action: formalize a recurring risk review (owner, cadence) and a register of residual risks.</w:t>
      </w:r>
    </w:p>
    <w:p>
      <w:pPr>
        <w:pStyle w:val="Heading1"/>
      </w:pPr>
      <w:r>
        <w:rPr>
          <w:color w:val="1E7840"/>
        </w:rPr>
        <w:t>5. Data &amp; data governance</w:t>
      </w:r>
    </w:p>
    <w:p>
      <w:pPr>
        <w:pStyle w:val="ListBullet"/>
      </w:pPr>
      <w:r>
        <w:t>Inputs: session text, optional spoken audio (transient), display names, session metadata. PHI is encrypted at rest (AES-256) in Google Cloud SQL (US).</w:t>
      </w:r>
    </w:p>
    <w:p>
      <w:pPr>
        <w:pStyle w:val="ListBullet"/>
      </w:pPr>
      <w:r>
        <w:t>Sub-processors (each under a signed BAA): Google Cloud (hosting/storage), AssemblyAI (transcription), Anthropic (co-pilot/summaries/translation).</w:t>
      </w:r>
    </w:p>
    <w:p>
      <w:pPr>
        <w:pStyle w:val="ListBullet"/>
      </w:pPr>
      <w:r>
        <w:t>Training: client data is NOT used to train any AI model.</w:t>
      </w:r>
    </w:p>
    <w:p>
      <w:pPr>
        <w:pStyle w:val="ListBullet"/>
      </w:pPr>
      <w:r>
        <w:t>Retention: clinician-led sessions retained ~6 years as clinical records; audit logs ~6 years. Recordings (when enabled): 30 days, then deleted.</w:t>
      </w:r>
    </w:p>
    <w:p>
      <w:pPr>
        <w:pStyle w:val="ListBullet"/>
      </w:pPr>
      <w:r>
        <w:t>Data-subject handling: deletion/access requests are routed via the clinician (record-holder); clinical-record retention obligations may limit erasure.</w:t>
      </w:r>
    </w:p>
    <w:p>
      <w:pPr>
        <w:pStyle w:val="Heading1"/>
      </w:pPr>
      <w:r>
        <w:rPr>
          <w:color w:val="1E7840"/>
        </w:rPr>
        <w:t>6. Human oversight</w:t>
      </w:r>
    </w:p>
    <w:p>
      <w:pPr>
        <w:pStyle w:val="ListBullet"/>
      </w:pPr>
      <w:r>
        <w:t>A licensed clinician supervises every session and reviews all AI output before acting on it.</w:t>
      </w:r>
    </w:p>
    <w:p>
      <w:pPr>
        <w:pStyle w:val="ListBullet"/>
      </w:pPr>
      <w:r>
        <w:t>The co-pilot is advisory only and visible solely to the clinician; clients never see it.</w:t>
      </w:r>
    </w:p>
    <w:p>
      <w:pPr>
        <w:pStyle w:val="ListBullet"/>
      </w:pPr>
      <w:r>
        <w:t>Automated risk/crisis detection only surfaces resources to the client and an alert to the clinician — it takes no autonomous action.</w:t>
      </w:r>
    </w:p>
    <w:p>
      <w:pPr>
        <w:pStyle w:val="ListBullet"/>
      </w:pPr>
      <w:r>
        <w:t>The clinician can disregard, edit, or act on any suggestion; the AI cannot override the clinician.</w:t>
      </w:r>
    </w:p>
    <w:p>
      <w:pPr>
        <w:pStyle w:val="Heading1"/>
      </w:pPr>
      <w:r>
        <w:rPr>
          <w:color w:val="1E7840"/>
        </w:rPr>
        <w:t>7. Transparency to users</w:t>
      </w:r>
    </w:p>
    <w:p>
      <w:pPr>
        <w:pStyle w:val="ListBullet"/>
      </w:pPr>
      <w:r>
        <w:t>Clients are told they are interacting with a human clinician assisted by AI (in-session consent banner + Privacy Policy 'About the AI' section).</w:t>
      </w:r>
    </w:p>
    <w:p>
      <w:pPr>
        <w:pStyle w:val="ListBullet"/>
      </w:pPr>
      <w:r>
        <w:t>Transcription is disclosed as automated/AI; audio is not recorded by default; recording (when available) requires all-party consent.</w:t>
      </w:r>
    </w:p>
    <w:p>
      <w:pPr>
        <w:pStyle w:val="ListBullet"/>
      </w:pPr>
      <w:r>
        <w:t>AI-generated artifacts (summaries, suggestions) are labeled AI decision support, not diagnosis.</w:t>
      </w:r>
    </w:p>
    <w:p>
      <w:pPr>
        <w:pStyle w:val="ListBullet"/>
      </w:pPr>
      <w:r>
        <w:t>Sub-processors are named in the Privacy Policy.</w:t>
      </w:r>
    </w:p>
    <w:p>
      <w:pPr>
        <w:pStyle w:val="Heading1"/>
      </w:pPr>
      <w:r>
        <w:rPr>
          <w:color w:val="1E7840"/>
        </w:rPr>
        <w:t>8. Logging &amp; traceability</w:t>
      </w:r>
    </w:p>
    <w:p>
      <w:r>
        <w:t>A tamper-evident, append-only audit log (SHA-256 hash chain; HIPAA §164.312(b)) records AI-relevant events, including session_created, message_sent, suggestions_generated, crisis_detected, session_summary_generated, transcript_downloaded, and data-hiding events. Retention ~6 years. Action: map these events to the AI Act's record-keeping expectations and fill any gaps.</w:t>
      </w:r>
    </w:p>
    <w:p>
      <w:pPr>
        <w:pStyle w:val="Heading1"/>
      </w:pPr>
      <w:r>
        <w:rPr>
          <w:color w:val="1E7840"/>
        </w:rPr>
        <w:t>9. Accuracy, robustness &amp; limitations</w:t>
      </w:r>
    </w:p>
    <w:p>
      <w:pPr>
        <w:pStyle w:val="ListBullet"/>
      </w:pPr>
      <w:r>
        <w:t>Limitations (disclosed to users): AI transcription and suggestions may be incomplete or contain errors; ICD references are decision-support, not diagnoses; the clinician verifies all output.</w:t>
      </w:r>
    </w:p>
    <w:p>
      <w:pPr>
        <w:pStyle w:val="ListBullet"/>
      </w:pPr>
      <w:r>
        <w:t>ICD retrieval uses a local embedding model with tuned similarity thresholds and a deterministic curated corpus, so codes are never fabricated.</w:t>
      </w:r>
    </w:p>
    <w:p>
      <w:pPr>
        <w:pStyle w:val="ListBullet"/>
      </w:pPr>
      <w:r>
        <w:t>Action: define accuracy/robustness metrics and a monitoring plan with counsel; the underlying generative model is third-party and versioned.</w:t>
      </w:r>
    </w:p>
    <w:p>
      <w:pPr>
        <w:pStyle w:val="Heading1"/>
      </w:pPr>
      <w:r>
        <w:rPr>
          <w:color w:val="1E7840"/>
        </w:rPr>
        <w:t>10. Post-market monitoring &amp; incident response</w:t>
      </w:r>
    </w:p>
    <w:p>
      <w:pPr>
        <w:pStyle w:val="ListBullet"/>
      </w:pPr>
      <w:r>
        <w:t>Monitor system behavior and user-reported concerns (privacy@onlinegbc.com).</w:t>
      </w:r>
    </w:p>
    <w:p>
      <w:pPr>
        <w:pStyle w:val="ListBullet"/>
      </w:pPr>
      <w:r>
        <w:t>Action: define a serious-incident reporting process and timelines per the AI Act, and a procedure to log, triage, and remediate AI-related incidents.</w:t>
      </w:r>
    </w:p>
    <w:p>
      <w:pPr>
        <w:pStyle w:val="Heading1"/>
      </w:pPr>
      <w:r>
        <w:rPr>
          <w:color w:val="1E7840"/>
        </w:rPr>
        <w:t>11. Outstanding items (for counsel)</w:t>
      </w:r>
    </w:p>
    <w:p>
      <w:pPr>
        <w:pStyle w:val="ListBullet"/>
      </w:pPr>
      <w:r>
        <w:t>Confirm EU applicability and high-risk classification.</w:t>
      </w:r>
    </w:p>
    <w:p>
      <w:pPr>
        <w:pStyle w:val="ListBullet"/>
      </w:pPr>
      <w:r>
        <w:t>Confirm the provider-vs-deployer determination and the resulting obligation set.</w:t>
      </w:r>
    </w:p>
    <w:p>
      <w:pPr>
        <w:pStyle w:val="ListBullet"/>
      </w:pPr>
      <w:r>
        <w:t>Produce the formal technical documentation (Annex IV) and, if provider, the conformity assessment / EU declaration.</w:t>
      </w:r>
    </w:p>
    <w:p>
      <w:pPr>
        <w:pStyle w:val="ListBullet"/>
      </w:pPr>
      <w:r>
        <w:t>Bias/fairness evaluation approach for the third-party model.</w:t>
      </w:r>
    </w:p>
    <w:p>
      <w:pPr>
        <w:pStyle w:val="ListBullet"/>
      </w:pPr>
      <w:r>
        <w:t>Finalize accuracy metrics, the monitoring plan, and the serious-incident process.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