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Assigned Security Responsibility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§164.308(a)(2); §164.530(a)</w:t>
            </w:r>
          </w:p>
        </w:tc>
      </w:tr>
    </w:tbl>
    <w:p/>
    <w:p>
      <w:pPr>
        <w:pStyle w:val="Heading2"/>
      </w:pPr>
      <w:r>
        <w:t>1. Purpose</w:t>
      </w:r>
    </w:p>
    <w:p>
      <w:r>
        <w:t>Designate the individual responsible for developing and implementing TogetherMindsAI's security and privacy program.</w:t>
      </w:r>
    </w:p>
    <w:p>
      <w:pPr>
        <w:pStyle w:val="Heading2"/>
      </w:pPr>
      <w:r>
        <w:t>2. Scope</w:t>
      </w:r>
    </w:p>
    <w:p>
      <w:r>
        <w:t>Organization-wide.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A single, named </w:t>
      </w:r>
      <w:r>
        <w:rPr>
          <w:b/>
        </w:rPr>
        <w:t>Security Officer</w:t>
      </w:r>
      <w:r>
        <w:t xml:space="preserve"> is designated and accountable for the HIPAA Security Rule program.</w:t>
      </w:r>
    </w:p>
    <w:p>
      <w:pPr>
        <w:pStyle w:val="ListNumber"/>
      </w:pPr>
      <w:r>
        <w:t xml:space="preserve">A </w:t>
      </w:r>
      <w:r>
        <w:rPr>
          <w:b/>
        </w:rPr>
        <w:t>Privacy Officer</w:t>
      </w:r>
      <w:r>
        <w:t xml:space="preserve"> is designated for the Privacy Rule (may be the same individual).</w:t>
      </w:r>
    </w:p>
    <w:p>
      <w:pPr>
        <w:pStyle w:val="ListNumber"/>
      </w:pPr>
      <w:r>
        <w:t>The designation is documented and kept current.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Designation</w:t>
      </w:r>
    </w:p>
    <w:p>
      <w:pPr>
        <w:pStyle w:val="ListBullet"/>
      </w:pPr>
      <w:r>
        <w:rPr>
          <w:b/>
        </w:rPr>
        <w:t>Security Officer &amp; Privacy Officer: Raja Gopalan</w:t>
      </w:r>
      <w:r>
        <w:t>, effective 2026-06-16.</w:t>
      </w:r>
    </w:p>
    <w:p>
      <w:pPr>
        <w:pStyle w:val="ListBullet"/>
      </w:pPr>
      <w:r>
        <w:t>Responsibilities: risk management, policy lifecycle, access authorization, incident and breach response, training, vendor/BAA oversight, and audit-log review.</w:t>
      </w:r>
    </w:p>
    <w:p>
      <w:pPr>
        <w:pStyle w:val="ListBullet"/>
      </w:pPr>
      <w:r>
        <w:t>Any reassignment is documented and access is transferred.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t>As designated in §4.1.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§164.308(a)(2) Assigned Security Responsibility</w:t>
            </w:r>
          </w:p>
        </w:tc>
        <w:tc>
          <w:tcPr>
            <w:tcW w:type="dxa" w:w="4320"/>
          </w:tcPr>
          <w:p>
            <w:r/>
            <w:r>
              <w:t>§3, §4.1</w:t>
            </w:r>
          </w:p>
        </w:tc>
      </w:tr>
      <w:tr>
        <w:tc>
          <w:tcPr>
            <w:tcW w:type="dxa" w:w="4320"/>
          </w:tcPr>
          <w:p>
            <w:r/>
            <w:r>
              <w:t>§164.530(a) Privacy official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TM-SEC-JD-001; TM-SEC-PROC-001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