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Device &amp; Media Controls Policy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Document ID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TM-SEC-POL-008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Owner</w:t>
            </w:r>
          </w:p>
        </w:tc>
        <w:tc>
          <w:tcPr>
            <w:tcW w:type="dxa" w:w="4320"/>
          </w:tcPr>
          <w:p>
            <w:r/>
            <w:r>
              <w:t>Security Officer (Raja Gopalan)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/>
            <w:r>
              <w:t>1.0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/>
            <w:r>
              <w:t>Approved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Last reviewed</w:t>
            </w:r>
          </w:p>
        </w:tc>
        <w:tc>
          <w:tcPr>
            <w:tcW w:type="dxa" w:w="4320"/>
          </w:tcPr>
          <w:p>
            <w:r/>
            <w:r>
              <w:t>2026-06-16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Next review due</w:t>
            </w:r>
          </w:p>
        </w:tc>
        <w:tc>
          <w:tcPr>
            <w:tcW w:type="dxa" w:w="4320"/>
          </w:tcPr>
          <w:p>
            <w:r/>
            <w:r>
              <w:t>2027-06-16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HIPAA citation(s)</w:t>
            </w:r>
          </w:p>
        </w:tc>
        <w:tc>
          <w:tcPr>
            <w:tcW w:type="dxa" w:w="4320"/>
          </w:tcPr>
          <w:p>
            <w:r/>
            <w:r>
              <w:t>45 CFR §164.310(d); §164.310(a)-(c)</w:t>
            </w:r>
          </w:p>
        </w:tc>
      </w:tr>
    </w:tbl>
    <w:p/>
    <w:p>
      <w:pPr>
        <w:pStyle w:val="Heading2"/>
      </w:pPr>
      <w:r>
        <w:t>1. Purpose</w:t>
      </w:r>
    </w:p>
    <w:p>
      <w:r>
        <w:t>Govern the receipt, movement, re-use, and disposal of hardware and electronic media that contain ePHI.</w:t>
      </w:r>
    </w:p>
    <w:p>
      <w:pPr>
        <w:pStyle w:val="Heading2"/>
      </w:pPr>
      <w:r>
        <w:t>2. Scope</w:t>
      </w:r>
    </w:p>
    <w:p>
      <w:r>
        <w:t>All workforce endpoints (laptops/phones) and electronic media; cloud infrastructure media is managed by GCP.</w:t>
      </w:r>
    </w:p>
    <w:p>
      <w:pPr>
        <w:pStyle w:val="Heading2"/>
      </w:pPr>
      <w:r>
        <w:t>3. Policy statements</w:t>
      </w:r>
    </w:p>
    <w:p>
      <w:pPr>
        <w:pStyle w:val="ListNumber"/>
      </w:pPr>
      <w:r>
        <w:t xml:space="preserve">ePHI is </w:t>
      </w:r>
      <w:r>
        <w:rPr>
          <w:b/>
        </w:rPr>
        <w:t>not stored on removable media</w:t>
      </w:r>
      <w:r>
        <w:t xml:space="preserve">; workforce endpoints use </w:t>
      </w:r>
      <w:r>
        <w:rPr>
          <w:b/>
        </w:rPr>
        <w:t>full-disk encryption</w:t>
      </w:r>
      <w:r>
        <w:t>.</w:t>
      </w:r>
    </w:p>
    <w:p>
      <w:pPr>
        <w:pStyle w:val="ListNumber"/>
      </w:pPr>
      <w:r>
        <w:t xml:space="preserve">Media/devices containing ePHI are </w:t>
      </w:r>
      <w:r>
        <w:rPr>
          <w:b/>
        </w:rPr>
        <w:t>securely disposed of or sanitized</w:t>
      </w:r>
      <w:r>
        <w:t xml:space="preserve"> before disposal or re-use.</w:t>
      </w:r>
    </w:p>
    <w:p>
      <w:pPr>
        <w:pStyle w:val="ListNumber"/>
      </w:pPr>
      <w:r>
        <w:t xml:space="preserve">ePHI is </w:t>
      </w:r>
      <w:r>
        <w:rPr>
          <w:b/>
        </w:rPr>
        <w:t>backed up</w:t>
      </w:r>
      <w:r>
        <w:t xml:space="preserve"> before equipment containing it is moved or decommissioned.</w:t>
      </w:r>
    </w:p>
    <w:p>
      <w:pPr>
        <w:pStyle w:val="ListNumber"/>
      </w:pPr>
      <w:r>
        <w:t xml:space="preserve">Cloud infrastructure media disposal is handled by </w:t>
      </w:r>
      <w:r>
        <w:rPr>
          <w:b/>
        </w:rPr>
        <w:t>GCP</w:t>
      </w:r>
      <w:r>
        <w:t xml:space="preserve"> under its BAA and certifications.</w:t>
      </w:r>
    </w:p>
    <w:p>
      <w:pPr>
        <w:pStyle w:val="Heading2"/>
      </w:pPr>
      <w:r>
        <w:t>4. Procedures / controls</w:t>
      </w:r>
    </w:p>
    <w:p>
      <w:pPr>
        <w:pStyle w:val="Heading3"/>
      </w:pPr>
      <w:r>
        <w:t>4.1 Disposal — §164.310(d)(2)(i)</w:t>
      </w:r>
    </w:p>
    <w:p>
      <w:pPr>
        <w:pStyle w:val="ListBullet"/>
      </w:pPr>
      <w:r>
        <w:t>Workforce devices that accessed ePHI are wiped (cryptographic/secure erase) before disposal. GCP securely sanitizes or destroys decommissioned infrastructure media.</w:t>
      </w:r>
    </w:p>
    <w:p>
      <w:pPr>
        <w:pStyle w:val="Heading3"/>
      </w:pPr>
      <w:r>
        <w:t>4.2 Media re-use — §164.310(d)(2)(ii)</w:t>
      </w:r>
    </w:p>
    <w:p>
      <w:pPr>
        <w:pStyle w:val="ListBullet"/>
      </w:pPr>
      <w:r>
        <w:t>Any media is sanitized of ePHI before re-use.</w:t>
      </w:r>
    </w:p>
    <w:p>
      <w:pPr>
        <w:pStyle w:val="Heading3"/>
      </w:pPr>
      <w:r>
        <w:t>4.3 Accountability — §164.310(d)(2)(iii) (addressable)</w:t>
      </w:r>
    </w:p>
    <w:p>
      <w:pPr>
        <w:pStyle w:val="ListBullet"/>
      </w:pPr>
      <w:r>
        <w:t>Workforce devices with ePHI access are tracked in the asset inventory (</w:t>
      </w:r>
      <w:r>
        <w:rPr>
          <w:rFonts w:ascii="Consolas" w:hAnsi="Consolas"/>
        </w:rPr>
        <w:t>sra_assets.csv</w:t>
      </w:r>
      <w:r>
        <w:t>).</w:t>
      </w:r>
    </w:p>
    <w:p>
      <w:pPr>
        <w:pStyle w:val="Heading3"/>
      </w:pPr>
      <w:r>
        <w:t>4.4 Data backup &amp; storage — §164.310(d)(2)(iv) (addressable)</w:t>
      </w:r>
    </w:p>
    <w:p>
      <w:pPr>
        <w:pStyle w:val="ListBullet"/>
      </w:pPr>
      <w:r>
        <w:t>The ePHI system of record lives in the GCP database (backed up); endpoints hold no system of record, so moving an endpoint does not risk ePHI loss.</w:t>
      </w:r>
    </w:p>
    <w:p>
      <w:pPr>
        <w:pStyle w:val="Heading3"/>
      </w:pPr>
      <w:r>
        <w:t>4.5 Facility &amp; workstation controls — §164.310(a)-(c)</w:t>
      </w:r>
    </w:p>
    <w:p>
      <w:pPr>
        <w:pStyle w:val="ListBullet"/>
      </w:pPr>
      <w:r>
        <w:t xml:space="preserve">As a cloud-only operation, </w:t>
      </w:r>
      <w:r>
        <w:rPr>
          <w:b/>
        </w:rPr>
        <w:t>facility access controls (§164.310(a)) are inherited from GCP's certified data centers.</w:t>
      </w:r>
      <w:r>
        <w:t xml:space="preserve"> Workstation use (§164.310(b)/(c)) requires screen lock, encryption, and authorized use only.</w:t>
      </w:r>
    </w:p>
    <w:p>
      <w:pPr>
        <w:pStyle w:val="Heading2"/>
      </w:pPr>
      <w:r>
        <w:t>5. Roles &amp; responsibilities</w:t>
      </w:r>
    </w:p>
    <w:p>
      <w:pPr>
        <w:pStyle w:val="ListBullet"/>
      </w:pPr>
      <w:r>
        <w:rPr>
          <w:b/>
        </w:rPr>
        <w:t>Cloud/Infra Admin:</w:t>
      </w:r>
      <w:r>
        <w:t xml:space="preserve"> device provisioning/wiping; </w:t>
      </w:r>
      <w:r>
        <w:rPr>
          <w:b/>
        </w:rPr>
        <w:t>Workforce:</w:t>
      </w:r>
      <w:r>
        <w:t xml:space="preserve"> safeguard devices; </w:t>
      </w:r>
      <w:r>
        <w:rPr>
          <w:b/>
        </w:rPr>
        <w:t>Security Officer:</w:t>
      </w:r>
      <w:r>
        <w:t xml:space="preserve"> oversight.</w:t>
      </w:r>
    </w:p>
    <w:p>
      <w:pPr>
        <w:pStyle w:val="Heading2"/>
      </w:pPr>
      <w:r>
        <w:t>6. HIPAA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Requirement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How this policy satisfies it</w:t>
            </w:r>
          </w:p>
        </w:tc>
      </w:tr>
      <w:tr>
        <w:tc>
          <w:tcPr>
            <w:tcW w:type="dxa" w:w="4320"/>
          </w:tcPr>
          <w:p>
            <w:r/>
            <w:r>
              <w:t>§164.310(d)(2)(i) Disposal</w:t>
            </w:r>
          </w:p>
        </w:tc>
        <w:tc>
          <w:tcPr>
            <w:tcW w:type="dxa" w:w="4320"/>
          </w:tcPr>
          <w:p>
            <w:r/>
            <w:r>
              <w:t>§4.1</w:t>
            </w:r>
          </w:p>
        </w:tc>
      </w:tr>
      <w:tr>
        <w:tc>
          <w:tcPr>
            <w:tcW w:type="dxa" w:w="4320"/>
          </w:tcPr>
          <w:p>
            <w:r/>
            <w:r>
              <w:t>§164.310(d)(2)(ii) Media Re-use</w:t>
            </w:r>
          </w:p>
        </w:tc>
        <w:tc>
          <w:tcPr>
            <w:tcW w:type="dxa" w:w="4320"/>
          </w:tcPr>
          <w:p>
            <w:r/>
            <w:r>
              <w:t>§4.2</w:t>
            </w:r>
          </w:p>
        </w:tc>
      </w:tr>
      <w:tr>
        <w:tc>
          <w:tcPr>
            <w:tcW w:type="dxa" w:w="4320"/>
          </w:tcPr>
          <w:p>
            <w:r/>
            <w:r>
              <w:t>§164.310(d)(2)(iii) Accountability</w:t>
            </w:r>
          </w:p>
        </w:tc>
        <w:tc>
          <w:tcPr>
            <w:tcW w:type="dxa" w:w="4320"/>
          </w:tcPr>
          <w:p>
            <w:r/>
            <w:r>
              <w:t>§4.3</w:t>
            </w:r>
          </w:p>
        </w:tc>
      </w:tr>
      <w:tr>
        <w:tc>
          <w:tcPr>
            <w:tcW w:type="dxa" w:w="4320"/>
          </w:tcPr>
          <w:p>
            <w:r/>
            <w:r>
              <w:t>§164.310(d)(2)(iv) Data Backup &amp; Storage</w:t>
            </w:r>
          </w:p>
        </w:tc>
        <w:tc>
          <w:tcPr>
            <w:tcW w:type="dxa" w:w="4320"/>
          </w:tcPr>
          <w:p>
            <w:r/>
            <w:r>
              <w:t>§4.4</w:t>
            </w:r>
          </w:p>
        </w:tc>
      </w:tr>
      <w:tr>
        <w:tc>
          <w:tcPr>
            <w:tcW w:type="dxa" w:w="4320"/>
          </w:tcPr>
          <w:p>
            <w:r/>
            <w:r>
              <w:t>§164.310(a)-(c) Facility / Workstation</w:t>
            </w:r>
          </w:p>
        </w:tc>
        <w:tc>
          <w:tcPr>
            <w:tcW w:type="dxa" w:w="4320"/>
          </w:tcPr>
          <w:p>
            <w:r/>
            <w:r>
              <w:t>§4.5</w:t>
            </w:r>
          </w:p>
        </w:tc>
      </w:tr>
    </w:tbl>
    <w:p/>
    <w:p>
      <w:pPr>
        <w:pStyle w:val="Heading2"/>
      </w:pPr>
      <w:r>
        <w:t>7. Enforcement &amp; sanctions</w:t>
      </w:r>
    </w:p>
    <w:p>
      <w:r>
        <w:t>Violations of this policy are handled per the Workforce Security &amp; Sanction Policy (TM-SEC-POL-003).</w:t>
      </w:r>
    </w:p>
    <w:p>
      <w:pPr>
        <w:pStyle w:val="Heading2"/>
      </w:pPr>
      <w:r>
        <w:t>8. Exceptions</w:t>
      </w:r>
    </w:p>
    <w:p>
      <w:r>
        <w:t>Time-bound exceptions require Security Officer approval with documented justification, compensating controls, and an expiry/review date.</w:t>
      </w:r>
    </w:p>
    <w:p>
      <w:pPr>
        <w:pStyle w:val="Heading2"/>
      </w:pPr>
      <w:r>
        <w:t>9. Related documents</w:t>
      </w:r>
    </w:p>
    <w:p>
      <w:pPr>
        <w:pStyle w:val="ListBullet"/>
      </w:pPr>
      <w:r>
        <w:t xml:space="preserve">TM-SEC-POL-010; TM-SEC-POL-014; </w:t>
      </w:r>
      <w:r>
        <w:rPr>
          <w:rFonts w:ascii="Consolas" w:hAnsi="Consolas"/>
        </w:rPr>
        <w:t>sra_assets.csv</w:t>
      </w:r>
    </w:p>
    <w:p>
      <w:pPr>
        <w:pStyle w:val="Heading2"/>
      </w:pPr>
      <w:r>
        <w:t>Review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Version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Date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Reviewer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Change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Approver</w:t>
            </w:r>
          </w:p>
        </w:tc>
      </w:tr>
      <w:tr>
        <w:tc>
          <w:tcPr>
            <w:tcW w:type="dxa" w:w="1728"/>
          </w:tcPr>
          <w:p>
            <w:r/>
            <w:r>
              <w:t>1.0</w:t>
            </w:r>
          </w:p>
        </w:tc>
        <w:tc>
          <w:tcPr>
            <w:tcW w:type="dxa" w:w="1728"/>
          </w:tcPr>
          <w:p>
            <w:r/>
            <w:r>
              <w:t>2026-06-16</w:t>
            </w:r>
          </w:p>
        </w:tc>
        <w:tc>
          <w:tcPr>
            <w:tcW w:type="dxa" w:w="1728"/>
          </w:tcPr>
          <w:p>
            <w:r/>
            <w:r>
              <w:t>Raja Gopalan</w:t>
            </w:r>
          </w:p>
        </w:tc>
        <w:tc>
          <w:tcPr>
            <w:tcW w:type="dxa" w:w="1728"/>
          </w:tcPr>
          <w:p>
            <w:r/>
            <w:r>
              <w:t>Initial version</w:t>
            </w:r>
          </w:p>
        </w:tc>
        <w:tc>
          <w:tcPr>
            <w:tcW w:type="dxa" w:w="1728"/>
          </w:tcPr>
          <w:p>
            <w:r/>
            <w:r>
              <w:t>Raja Gopalan</w:t>
            </w:r>
          </w:p>
        </w:tc>
      </w:tr>
    </w:tbl>
    <w:p/>
    <w:p>
      <w:pPr>
        <w:pStyle w:val="Heading2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Approved by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Date</w:t>
            </w:r>
          </w:p>
        </w:tc>
      </w:tr>
      <w:tr>
        <w:tc>
          <w:tcPr>
            <w:tcW w:type="dxa" w:w="2160"/>
          </w:tcPr>
          <w:p>
            <w:r/>
            <w:r>
              <w:t>1.0</w:t>
            </w:r>
          </w:p>
        </w:tc>
        <w:tc>
          <w:tcPr>
            <w:tcW w:type="dxa" w:w="2160"/>
          </w:tcPr>
          <w:p>
            <w:r/>
            <w:r>
              <w:t>Raja Gopalan</w:t>
            </w:r>
          </w:p>
        </w:tc>
        <w:tc>
          <w:tcPr>
            <w:tcW w:type="dxa" w:w="2160"/>
          </w:tcPr>
          <w:p>
            <w:r/>
            <w:r>
              <w:t>Security Officer</w:t>
            </w:r>
          </w:p>
        </w:tc>
        <w:tc>
          <w:tcPr>
            <w:tcW w:type="dxa" w:w="2160"/>
          </w:tcPr>
          <w:p>
            <w:r/>
            <w:r>
              <w:t>2026-06-16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