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Incident Response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TM-SEC-POL-006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§164.308(a)(6)</w:t>
            </w:r>
          </w:p>
        </w:tc>
      </w:tr>
    </w:tbl>
    <w:p/>
    <w:p>
      <w:pPr>
        <w:pStyle w:val="Heading2"/>
      </w:pPr>
      <w:r>
        <w:t>1. Purpose</w:t>
      </w:r>
    </w:p>
    <w:p>
      <w:r>
        <w:t>Define how security incidents involving ePHI are identified, reported, responded to, mitigated, and documented.</w:t>
      </w:r>
    </w:p>
    <w:p>
      <w:pPr>
        <w:pStyle w:val="Heading2"/>
      </w:pPr>
      <w:r>
        <w:t>2. Scope</w:t>
      </w:r>
    </w:p>
    <w:p>
      <w:r>
        <w:t>All workforce, systems, and ePHI.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All suspected security incidents are </w:t>
      </w:r>
      <w:r>
        <w:rPr>
          <w:b/>
        </w:rPr>
        <w:t>reported immediately</w:t>
      </w:r>
      <w:r>
        <w:t xml:space="preserve"> to the Security Officer.</w:t>
      </w:r>
    </w:p>
    <w:p>
      <w:pPr>
        <w:pStyle w:val="ListNumber"/>
      </w:pPr>
      <w:r>
        <w:t xml:space="preserve">Incidents are </w:t>
      </w:r>
      <w:r>
        <w:rPr>
          <w:b/>
        </w:rPr>
        <w:t>triaged, contained, eradicated, and recovered</w:t>
      </w:r>
      <w:r>
        <w:t xml:space="preserve"> in a timely manner.</w:t>
      </w:r>
    </w:p>
    <w:p>
      <w:pPr>
        <w:pStyle w:val="ListNumber"/>
      </w:pPr>
      <w:r>
        <w:t xml:space="preserve">Every incident is </w:t>
      </w:r>
      <w:r>
        <w:rPr>
          <w:b/>
        </w:rPr>
        <w:t>documented</w:t>
      </w:r>
      <w:r>
        <w:t>, including the response and outcome.</w:t>
      </w:r>
    </w:p>
    <w:p>
      <w:pPr>
        <w:pStyle w:val="ListNumber"/>
      </w:pPr>
      <w:r>
        <w:t>Incidents involving ePHI are assessed for breach (TM-SEC-POL-012).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Detection &amp; reporting</w:t>
      </w:r>
    </w:p>
    <w:p>
      <w:pPr>
        <w:pStyle w:val="ListBullet"/>
      </w:pPr>
      <w:r>
        <w:t>Workforce report suspected incidents (malware, unauthorized access, lost device, anomalous log-ins) to the Security Officer without delay; audit/monitoring logs aid detection.</w:t>
      </w:r>
    </w:p>
    <w:p>
      <w:pPr>
        <w:pStyle w:val="Heading3"/>
      </w:pPr>
      <w:r>
        <w:t>4.2 Triage &amp; containment</w:t>
      </w:r>
    </w:p>
    <w:p>
      <w:pPr>
        <w:pStyle w:val="ListBullet"/>
      </w:pPr>
      <w:r>
        <w:t>The Security Officer classifies severity, contains the incident (isolate systems, revoke credentials, rotate secrets), and eradicates the cause.</w:t>
      </w:r>
    </w:p>
    <w:p>
      <w:pPr>
        <w:pStyle w:val="Heading3"/>
      </w:pPr>
      <w:r>
        <w:t>4.3 Recovery</w:t>
      </w:r>
    </w:p>
    <w:p>
      <w:pPr>
        <w:pStyle w:val="ListBullet"/>
      </w:pPr>
      <w:r>
        <w:t>Restore affected systems/data from known-good backups; verify integrity; resume normal operation.</w:t>
      </w:r>
    </w:p>
    <w:p>
      <w:pPr>
        <w:pStyle w:val="Heading3"/>
      </w:pPr>
      <w:r>
        <w:t>4.4 Documentation &amp; post-incident review</w:t>
      </w:r>
    </w:p>
    <w:p>
      <w:pPr>
        <w:pStyle w:val="ListBullet"/>
      </w:pPr>
      <w:r>
        <w:t>Record what happened, actions taken, and outcome; conduct a post-incident review to prevent recurrence.</w:t>
      </w:r>
    </w:p>
    <w:p>
      <w:pPr>
        <w:pStyle w:val="Heading3"/>
      </w:pPr>
      <w:r>
        <w:t>4.5 Breach assessment</w:t>
      </w:r>
    </w:p>
    <w:p>
      <w:pPr>
        <w:pStyle w:val="ListBullet"/>
      </w:pPr>
      <w:r>
        <w:t>Assess whether ePHI was compromised; if so, trigger the Breach Notification process (TM-SEC-POL-012).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Security Officer:</w:t>
      </w:r>
      <w:r>
        <w:t xml:space="preserve"> leads response. </w:t>
      </w:r>
      <w:r>
        <w:rPr>
          <w:b/>
        </w:rPr>
        <w:t>Cloud/Infra Admin:</w:t>
      </w:r>
      <w:r>
        <w:t xml:space="preserve"> executes containment/recovery. </w:t>
      </w:r>
      <w:r>
        <w:rPr>
          <w:b/>
        </w:rPr>
        <w:t>Workforce:</w:t>
      </w:r>
      <w:r>
        <w:t xml:space="preserve"> reports incidents.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§164.308(a)(6)(i) Security Incident Procedures</w:t>
            </w:r>
          </w:p>
        </w:tc>
        <w:tc>
          <w:tcPr>
            <w:tcW w:type="dxa" w:w="4320"/>
          </w:tcPr>
          <w:p>
            <w:r/>
            <w:r>
              <w:t>§3, §4</w:t>
            </w:r>
          </w:p>
        </w:tc>
      </w:tr>
      <w:tr>
        <w:tc>
          <w:tcPr>
            <w:tcW w:type="dxa" w:w="4320"/>
          </w:tcPr>
          <w:p>
            <w:r/>
            <w:r>
              <w:t>§164.308(a)(6)(ii) Response and Reporting</w:t>
            </w:r>
          </w:p>
        </w:tc>
        <w:tc>
          <w:tcPr>
            <w:tcW w:type="dxa" w:w="4320"/>
          </w:tcPr>
          <w:p>
            <w:r/>
            <w:r>
              <w:t>§4.1–4.5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Violations of this policy are handled per the Workforce Security &amp; Sanction Policy (TM-SEC-POL-003).</w:t>
      </w:r>
    </w:p>
    <w:p>
      <w:pPr>
        <w:pStyle w:val="Heading2"/>
      </w:pPr>
      <w:r>
        <w:t>8. Exceptions</w:t>
      </w:r>
    </w:p>
    <w:p>
      <w:r>
        <w:t>Time-bound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t>TM-SEC-POL-012; TM-SEC-POL-007; TM-SEC-POL-009</w:t>
      </w:r>
    </w:p>
    <w:p>
      <w:pPr>
        <w:pStyle w:val="Heading2"/>
      </w:pPr>
      <w:r>
        <w:t>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1.0</w:t>
            </w:r>
          </w:p>
        </w:tc>
        <w:tc>
          <w:tcPr>
            <w:tcW w:type="dxa" w:w="1728"/>
          </w:tcPr>
          <w:p>
            <w:r/>
            <w:r>
              <w:t>2026-06-16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  <w:tc>
          <w:tcPr>
            <w:tcW w:type="dxa" w:w="1728"/>
          </w:tcPr>
          <w:p>
            <w:r/>
            <w:r>
              <w:t>Initial version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Raja Gopalan</w:t>
            </w:r>
          </w:p>
        </w:tc>
        <w:tc>
          <w:tcPr>
            <w:tcW w:type="dxa" w:w="2160"/>
          </w:tcPr>
          <w:p>
            <w:r/>
            <w:r>
              <w:t>Security Officer</w:t>
            </w:r>
          </w:p>
        </w:tc>
        <w:tc>
          <w:tcPr>
            <w:tcW w:type="dxa" w:w="2160"/>
          </w:tcPr>
          <w:p>
            <w:r/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