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Management &amp; Risk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§164.308(a)(1)</w:t>
            </w:r>
          </w:p>
        </w:tc>
      </w:tr>
    </w:tbl>
    <w:p/>
    <w:p>
      <w:pPr>
        <w:pStyle w:val="Heading2"/>
      </w:pPr>
      <w:r>
        <w:t>1. Purpose</w:t>
      </w:r>
    </w:p>
    <w:p>
      <w:r>
        <w:t>Establish the security management process that runs TogetherMindsAI's HIPAA program — identifying and reducing risks to ePHI to a reasonable and appropriate level.</w:t>
      </w:r>
    </w:p>
    <w:p>
      <w:pPr>
        <w:pStyle w:val="Heading2"/>
      </w:pPr>
      <w:r>
        <w:t>2. Scope</w:t>
      </w:r>
    </w:p>
    <w:p>
      <w:r>
        <w:t>All ePHI, systems, and workforce.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 formal </w:t>
      </w:r>
      <w:r>
        <w:rPr>
          <w:b/>
        </w:rPr>
        <w:t>risk analysis</w:t>
      </w:r>
      <w:r>
        <w:t xml:space="preserve"> is conducted at least annually and after any major change, using the HHS SRA tool.</w:t>
      </w:r>
    </w:p>
    <w:p>
      <w:pPr>
        <w:pStyle w:val="ListNumber"/>
      </w:pPr>
      <w:r>
        <w:t xml:space="preserve">Identified risks are </w:t>
      </w:r>
      <w:r>
        <w:rPr>
          <w:b/>
        </w:rPr>
        <w:t>remediated</w:t>
      </w:r>
      <w:r>
        <w:t xml:space="preserve"> to a reasonable and appropriate level and tracked to closure.</w:t>
      </w:r>
    </w:p>
    <w:p>
      <w:pPr>
        <w:pStyle w:val="ListNumber"/>
      </w:pPr>
      <w:r>
        <w:rPr>
          <w:b/>
        </w:rPr>
        <w:t>Information system activity is reviewed</w:t>
      </w:r>
      <w:r>
        <w:t xml:space="preserve"> regularly (audit logs, access reports).</w:t>
      </w:r>
    </w:p>
    <w:p>
      <w:pPr>
        <w:pStyle w:val="ListNumber"/>
      </w:pPr>
      <w:r>
        <w:t xml:space="preserve">A </w:t>
      </w:r>
      <w:r>
        <w:rPr>
          <w:b/>
        </w:rPr>
        <w:t>sanction policy</w:t>
      </w:r>
      <w:r>
        <w:t xml:space="preserve"> is maintained and enforced (TM-SEC-POL-003).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Risk analysis — §164.308(a)(1)(ii)(A)</w:t>
      </w:r>
    </w:p>
    <w:p>
      <w:pPr>
        <w:pStyle w:val="ListBullet"/>
      </w:pPr>
      <w:r>
        <w:t>Conduct an enterprise risk assessment (HHS SRA) at least annually and on significant change; document threats, vulnerabilities, likelihood, and impact to ePHI.</w:t>
      </w:r>
    </w:p>
    <w:p>
      <w:pPr>
        <w:pStyle w:val="Heading3"/>
      </w:pPr>
      <w:r>
        <w:t>4.2 Risk management — §164.308(a)(1)(ii)(B)</w:t>
      </w:r>
    </w:p>
    <w:p>
      <w:pPr>
        <w:pStyle w:val="ListBullet"/>
      </w:pPr>
      <w:r>
        <w:t>Prioritize findings; implement measures sufficient to reduce risk to a reasonable and appropriate level; record remediation owners and dates.</w:t>
      </w:r>
    </w:p>
    <w:p>
      <w:pPr>
        <w:pStyle w:val="Heading3"/>
      </w:pPr>
      <w:r>
        <w:t>4.3 Information system activity review — §164.308(a)(1)(ii)(D)</w:t>
      </w:r>
    </w:p>
    <w:p>
      <w:pPr>
        <w:pStyle w:val="ListBullet"/>
      </w:pPr>
      <w:r>
        <w:t>Periodically review audit logs, access reports, and incidents (TM-SEC-POL-009).</w:t>
      </w:r>
    </w:p>
    <w:p>
      <w:pPr>
        <w:pStyle w:val="Heading3"/>
      </w:pPr>
      <w:r>
        <w:t>4.4 Sanctions — §164.308(a)(1)(ii)(C)</w:t>
      </w:r>
    </w:p>
    <w:p>
      <w:pPr>
        <w:pStyle w:val="ListBullet"/>
      </w:pPr>
      <w:r>
        <w:t>Apply sanctions per TM-SEC-POL-003.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owns the risk program, conducts assessments, drives remediation. </w:t>
      </w:r>
      <w:r>
        <w:rPr>
          <w:b/>
        </w:rPr>
        <w:t>Workforce:</w:t>
      </w:r>
      <w:r>
        <w:t xml:space="preserve"> support assessments and report risks.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§164.308(a)(1)(i) Security Management Process</w:t>
            </w:r>
          </w:p>
        </w:tc>
        <w:tc>
          <w:tcPr>
            <w:tcW w:type="dxa" w:w="4320"/>
          </w:tcPr>
          <w:p>
            <w:r/>
            <w:r>
              <w:t>§3, §4</w:t>
            </w:r>
          </w:p>
        </w:tc>
      </w:tr>
      <w:tr>
        <w:tc>
          <w:tcPr>
            <w:tcW w:type="dxa" w:w="4320"/>
          </w:tcPr>
          <w:p>
            <w:r/>
            <w:r>
              <w:t>§164.308(a)(1)(ii)(A) Risk Analysis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§164.308(a)(1)(ii)(B) Risk Management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§164.308(a)(1)(ii)(C) Sanction Policy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§164.308(a)(1)(ii)(D) Information System Activity Review</w:t>
            </w:r>
          </w:p>
        </w:tc>
        <w:tc>
          <w:tcPr>
            <w:tcW w:type="dxa" w:w="4320"/>
          </w:tcPr>
          <w:p>
            <w:r/>
            <w:r>
              <w:t>§4.3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TM-SEC-PROC-001; TM-SEC-POL-003; TM-SEC-POL-009; the SRA (</w:t>
      </w:r>
      <w:r>
        <w:rPr>
          <w:rFonts w:ascii="Consolas" w:hAnsi="Consolas"/>
        </w:rPr>
        <w:t>TogetherMindsAI_SRA_Tool_2026-6-16.sra</w:t>
      </w:r>
      <w:r>
        <w:t>)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