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Register</w:t>
      </w:r>
    </w:p>
    <w:p>
      <w:r>
        <w:t xml:space="preserve">Index of all security/privacy policies and procedures, maintained by the </w:t>
      </w:r>
      <w:r>
        <w:rPr>
          <w:b/>
        </w:rPr>
        <w:t>Security Officer</w:t>
      </w:r>
      <w:r>
        <w:t xml:space="preserve"> per </w:t>
      </w:r>
      <w:r>
        <w:rPr>
          <w:rFonts w:ascii="Consolas" w:hAnsi="Consolas"/>
        </w:rPr>
        <w:t>security-policy-management-process.docx</w:t>
      </w:r>
      <w:r>
        <w:t xml:space="preserve"> (TM‑SEC‑PROC‑001).</w:t>
      </w:r>
    </w:p>
    <w:p>
      <w:r>
        <w:rPr>
          <w:b/>
        </w:rPr>
        <w:t>Status values:</w:t>
      </w:r>
      <w:r>
        <w:t xml:space="preserve"> </w:t>
      </w:r>
      <w:r>
        <w:rPr>
          <w:rFonts w:ascii="Consolas" w:hAnsi="Consolas"/>
        </w:rPr>
        <w:t>Approved</w:t>
      </w:r>
      <w:r>
        <w:t xml:space="preserve"> · </w:t>
      </w:r>
      <w:r>
        <w:rPr>
          <w:rFonts w:ascii="Consolas" w:hAnsi="Consolas"/>
        </w:rPr>
        <w:t>Draft</w:t>
      </w:r>
      <w:r>
        <w:t xml:space="preserve"> · </w:t>
      </w:r>
      <w:r>
        <w:rPr>
          <w:rFonts w:ascii="Consolas" w:hAnsi="Consolas"/>
        </w:rPr>
        <w:t>Not started</w:t>
      </w:r>
      <w:r>
        <w:t xml:space="preserve"> · </w:t>
      </w:r>
      <w:r>
        <w:rPr>
          <w:rFonts w:ascii="Consolas" w:hAnsi="Consolas"/>
        </w:rPr>
        <w:t>Retired</w:t>
      </w:r>
    </w:p>
    <w:p>
      <w:r>
        <w:rPr>
          <w:b/>
        </w:rPr>
        <w:t>Review cadence:</w:t>
      </w:r>
      <w:r>
        <w:t xml:space="preserve"> every policy at least annually, plus on any triggering event (see the management process).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Last reviewed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Next review due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t>TM‑SEC‑PROC‑001</w:t>
            </w:r>
          </w:p>
        </w:tc>
        <w:tc>
          <w:tcPr>
            <w:tcW w:type="dxa" w:w="1234"/>
          </w:tcPr>
          <w:p>
            <w:r/>
            <w:r>
              <w:t>Security Policy &amp; Procedure Management Process</w:t>
            </w:r>
          </w:p>
        </w:tc>
        <w:tc>
          <w:tcPr>
            <w:tcW w:type="dxa" w:w="1234"/>
          </w:tcPr>
          <w:p>
            <w:r>
              <w:t>Security Officer (Raja Gopalan)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2027-06-16</w:t>
            </w:r>
          </w:p>
        </w:tc>
        <w:tc>
          <w:tcPr>
            <w:tcW w:type="dxa" w:w="1234"/>
          </w:tcPr>
          <w:p>
            <w:r>
              <w:t>Approved</w:t>
            </w:r>
          </w:p>
        </w:tc>
      </w:tr>
      <w:tr>
        <w:tc>
          <w:tcPr>
            <w:tcW w:type="dxa" w:w="1234"/>
          </w:tcPr>
          <w:p>
            <w:r/>
            <w:r>
              <w:t>TM‑SEC‑POL‑001</w:t>
            </w:r>
          </w:p>
        </w:tc>
        <w:tc>
          <w:tcPr>
            <w:tcW w:type="dxa" w:w="1234"/>
          </w:tcPr>
          <w:p>
            <w:r/>
            <w:r>
              <w:t>Security Management &amp; Risk Management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TM‑SEC‑POL‑002</w:t>
            </w:r>
          </w:p>
        </w:tc>
        <w:tc>
          <w:tcPr>
            <w:tcW w:type="dxa" w:w="1234"/>
          </w:tcPr>
          <w:p>
            <w:r/>
            <w:r>
              <w:t>Assigned Security Responsibility (Security Officer)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TM‑SEC‑POL‑003</w:t>
            </w:r>
          </w:p>
        </w:tc>
        <w:tc>
          <w:tcPr>
            <w:tcW w:type="dxa" w:w="1234"/>
          </w:tcPr>
          <w:p>
            <w:r/>
            <w:r>
              <w:t>Workforce Security &amp; Sanction Policy</w:t>
            </w:r>
          </w:p>
        </w:tc>
        <w:tc>
          <w:tcPr>
            <w:tcW w:type="dxa" w:w="1234"/>
          </w:tcPr>
          <w:p>
            <w:r>
              <w:t>Security Officer (Raja Gopalan)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2027-06-16</w:t>
            </w:r>
          </w:p>
        </w:tc>
        <w:tc>
          <w:tcPr>
            <w:tcW w:type="dxa" w:w="1234"/>
          </w:tcPr>
          <w:p>
            <w:r>
              <w:t>Approved</w:t>
            </w:r>
          </w:p>
        </w:tc>
      </w:tr>
      <w:tr>
        <w:tc>
          <w:tcPr>
            <w:tcW w:type="dxa" w:w="1234"/>
          </w:tcPr>
          <w:p>
            <w:r/>
            <w:r>
              <w:t>TM‑SEC‑POL‑004</w:t>
            </w:r>
          </w:p>
        </w:tc>
        <w:tc>
          <w:tcPr>
            <w:tcW w:type="dxa" w:w="1234"/>
          </w:tcPr>
          <w:p>
            <w:r/>
            <w:r>
              <w:t>Information Access Management &amp; Access Control</w:t>
            </w:r>
          </w:p>
        </w:tc>
        <w:tc>
          <w:tcPr>
            <w:tcW w:type="dxa" w:w="1234"/>
          </w:tcPr>
          <w:p>
            <w:r>
              <w:t>Security Officer (Raja Gopalan)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2027-06-16</w:t>
            </w:r>
          </w:p>
        </w:tc>
        <w:tc>
          <w:tcPr>
            <w:tcW w:type="dxa" w:w="1234"/>
          </w:tcPr>
          <w:p>
            <w:r>
              <w:t>Approved</w:t>
            </w:r>
          </w:p>
        </w:tc>
      </w:tr>
      <w:tr>
        <w:tc>
          <w:tcPr>
            <w:tcW w:type="dxa" w:w="1234"/>
          </w:tcPr>
          <w:p>
            <w:r/>
            <w:r>
              <w:t>TM‑SEC‑POL‑005</w:t>
            </w:r>
          </w:p>
        </w:tc>
        <w:tc>
          <w:tcPr>
            <w:tcW w:type="dxa" w:w="1234"/>
          </w:tcPr>
          <w:p>
            <w:r/>
            <w:r>
              <w:t>Security Awareness &amp; Training Policy</w:t>
            </w:r>
          </w:p>
        </w:tc>
        <w:tc>
          <w:tcPr>
            <w:tcW w:type="dxa" w:w="1234"/>
          </w:tcPr>
          <w:p>
            <w:r>
              <w:t>Security Officer (Raja Gopalan)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2027-06-16</w:t>
            </w:r>
          </w:p>
        </w:tc>
        <w:tc>
          <w:tcPr>
            <w:tcW w:type="dxa" w:w="1234"/>
          </w:tcPr>
          <w:p>
            <w:r>
              <w:t>Approved</w:t>
            </w:r>
          </w:p>
        </w:tc>
      </w:tr>
      <w:tr>
        <w:tc>
          <w:tcPr>
            <w:tcW w:type="dxa" w:w="1234"/>
          </w:tcPr>
          <w:p>
            <w:r/>
            <w:r>
              <w:t>TM‑SEC‑POL‑006</w:t>
            </w:r>
          </w:p>
        </w:tc>
        <w:tc>
          <w:tcPr>
            <w:tcW w:type="dxa" w:w="1234"/>
          </w:tcPr>
          <w:p>
            <w:r/>
            <w:r>
              <w:t>Security Incident Response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TM‑SEC‑POL‑007</w:t>
            </w:r>
          </w:p>
        </w:tc>
        <w:tc>
          <w:tcPr>
            <w:tcW w:type="dxa" w:w="1234"/>
          </w:tcPr>
          <w:p>
            <w:r/>
            <w:r>
              <w:t>Contingency Plan (Backup, Disaster Recovery, Emergency Mode)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TM‑SEC‑POL‑008</w:t>
            </w:r>
          </w:p>
        </w:tc>
        <w:tc>
          <w:tcPr>
            <w:tcW w:type="dxa" w:w="1234"/>
          </w:tcPr>
          <w:p>
            <w:r/>
            <w:r>
              <w:t>Device &amp; Media Controls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TM‑SEC‑POL‑009</w:t>
            </w:r>
          </w:p>
        </w:tc>
        <w:tc>
          <w:tcPr>
            <w:tcW w:type="dxa" w:w="1234"/>
          </w:tcPr>
          <w:p>
            <w:r/>
            <w:r>
              <w:t>Audit Controls, Logging &amp; Monitoring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TM‑SEC‑POL‑010</w:t>
            </w:r>
          </w:p>
        </w:tc>
        <w:tc>
          <w:tcPr>
            <w:tcW w:type="dxa" w:w="1234"/>
          </w:tcPr>
          <w:p>
            <w:r/>
            <w:r>
              <w:t>Authentication &amp; Transmission Security (Encryption)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TM‑SEC‑POL‑011</w:t>
            </w:r>
          </w:p>
        </w:tc>
        <w:tc>
          <w:tcPr>
            <w:tcW w:type="dxa" w:w="1234"/>
          </w:tcPr>
          <w:p>
            <w:r/>
            <w:r>
              <w:t>Business Associate &amp; Vendor Management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TM‑SEC‑POL‑012</w:t>
            </w:r>
          </w:p>
        </w:tc>
        <w:tc>
          <w:tcPr>
            <w:tcW w:type="dxa" w:w="1234"/>
          </w:tcPr>
          <w:p>
            <w:r/>
            <w:r>
              <w:t>Breach Notification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TM‑SEC‑POL‑013</w:t>
            </w:r>
          </w:p>
        </w:tc>
        <w:tc>
          <w:tcPr>
            <w:tcW w:type="dxa" w:w="1234"/>
          </w:tcPr>
          <w:p>
            <w:r/>
            <w:r>
              <w:t>Privacy &amp; Minimum Necessary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  <w:tr>
        <w:tc>
          <w:tcPr>
            <w:tcW w:type="dxa" w:w="1234"/>
          </w:tcPr>
          <w:p>
            <w:r/>
            <w:r>
              <w:t>TM‑SEC‑POL‑014</w:t>
            </w:r>
          </w:p>
        </w:tc>
        <w:tc>
          <w:tcPr>
            <w:tcW w:type="dxa" w:w="1234"/>
          </w:tcPr>
          <w:p>
            <w:r/>
            <w:r>
              <w:t>Data Retention &amp; Disposal Policy</w:t>
            </w:r>
          </w:p>
        </w:tc>
        <w:tc>
          <w:tcPr>
            <w:tcW w:type="dxa" w:w="1234"/>
          </w:tcPr>
          <w:p>
            <w:r/>
            <w:r>
              <w:rPr>
                <w:i/>
              </w:rPr>
              <w:t>[ ]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Not started</w:t>
            </w:r>
          </w:p>
        </w:tc>
      </w:tr>
    </w:tbl>
    <w:p/>
    <w:p>
      <w:r>
        <w:t xml:space="preserve">This list seeds the </w:t>
      </w:r>
      <w:r>
        <w:rPr>
          <w:b/>
        </w:rPr>
        <w:t>core HIPAA Security/Privacy Rule policies</w:t>
      </w:r>
      <w:r>
        <w:t xml:space="preserve"> a Business Associate is expected to maintain — so the register doubles as a gap/roadmap. Add, merge, or remove rows to fit. Each row should point to a Word policy file in </w:t>
      </w:r>
      <w:r>
        <w:rPr>
          <w:rFonts w:ascii="Consolas" w:hAnsi="Consolas"/>
        </w:rPr>
        <w:t>Compliance/</w:t>
      </w:r>
      <w:r>
        <w:t xml:space="preserve"> (drafted from </w:t>
      </w:r>
      <w:r>
        <w:rPr>
          <w:rFonts w:ascii="Consolas" w:hAnsi="Consolas"/>
        </w:rPr>
        <w:t>policy-template.docx</w:t>
      </w:r>
      <w:r>
        <w:t>) once started.</w:t>
      </w:r>
    </w:p>
    <w:p>
      <w:pPr>
        <w:pStyle w:val="Heading2"/>
      </w:pPr>
      <w:r>
        <w:t>Related compliance documents</w:t>
      </w:r>
    </w:p>
    <w:p>
      <w:pPr>
        <w:pStyle w:val="ListBullet"/>
      </w:pPr>
      <w:r>
        <w:rPr>
          <w:rFonts w:ascii="Consolas" w:hAnsi="Consolas"/>
        </w:rPr>
        <w:t>security-policy-management-process.docx</w:t>
      </w:r>
      <w:r>
        <w:t xml:space="preserve"> — how these policies are developed, approved, reviewed, updated</w:t>
      </w:r>
    </w:p>
    <w:p>
      <w:pPr>
        <w:pStyle w:val="ListBullet"/>
      </w:pPr>
      <w:r>
        <w:rPr>
          <w:rFonts w:ascii="Consolas" w:hAnsi="Consolas"/>
        </w:rPr>
        <w:t>policy-template.docx</w:t>
      </w:r>
      <w:r>
        <w:t xml:space="preserve"> — standard template for each new policy</w:t>
      </w:r>
    </w:p>
    <w:p>
      <w:pPr>
        <w:pStyle w:val="ListBullet"/>
      </w:pPr>
      <w:r>
        <w:rPr>
          <w:rFonts w:ascii="Consolas" w:hAnsi="Consolas"/>
        </w:rPr>
        <w:t>workforce-roles-ephi-access.docx</w:t>
      </w:r>
      <w:r>
        <w:t xml:space="preserve"> (TM‑SEC‑JD‑001) — workforce job descriptions, ePHI access scope &amp; required qualifications</w:t>
      </w:r>
    </w:p>
    <w:p>
      <w:pPr>
        <w:pStyle w:val="ListBullet"/>
      </w:pPr>
      <w:r>
        <w:rPr>
          <w:rFonts w:ascii="Consolas" w:hAnsi="Consolas"/>
        </w:rPr>
        <w:t>sra_assets.csv</w:t>
      </w:r>
      <w:r>
        <w:t xml:space="preserve">, </w:t>
      </w:r>
      <w:r>
        <w:rPr>
          <w:rFonts w:ascii="Consolas" w:hAnsi="Consolas"/>
        </w:rPr>
        <w:t>sra_vendors.csv</w:t>
      </w:r>
      <w:r>
        <w:t xml:space="preserve"> — SRA asset &amp; vendor/BAA inventories</w:t>
      </w:r>
    </w:p>
    <w:p>
      <w:pPr>
        <w:pStyle w:val="ListBullet"/>
      </w:pPr>
      <w:r>
        <w:rPr>
          <w:rFonts w:ascii="Consolas" w:hAnsi="Consolas"/>
        </w:rPr>
        <w:t>TogetherMindsAI_SRA_Tool_2026-6-16.sra</w:t>
      </w:r>
      <w:r>
        <w:t xml:space="preserve"> — Security Risk Assessment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