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Access Management &amp; Access Control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TM-SEC-POL-004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4320"/>
          </w:tcPr>
          <w:p>
            <w:r/>
            <w:r>
              <w:t>Security Officer (Raja Gopalan)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t>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t>2026-06-16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Next review due</w:t>
            </w:r>
          </w:p>
        </w:tc>
        <w:tc>
          <w:tcPr>
            <w:tcW w:type="dxa" w:w="4320"/>
          </w:tcPr>
          <w:p>
            <w:r/>
            <w:r>
              <w:t>2027-06-16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HIPAA citation(s)</w:t>
            </w:r>
          </w:p>
        </w:tc>
        <w:tc>
          <w:tcPr>
            <w:tcW w:type="dxa" w:w="4320"/>
          </w:tcPr>
          <w:p>
            <w:r/>
            <w:r>
              <w:t>45 CFR §164.308(a)(4); §164.312(a)(1)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Define how access to ePHI is </w:t>
      </w:r>
      <w:r>
        <w:rPr>
          <w:b/>
        </w:rPr>
        <w:t>authorized, granted, established, documented, reviewed, modified, and revoked</w:t>
      </w:r>
      <w:r>
        <w:t xml:space="preserve"> — on a minimum-necessary basis — so that only appropriately authorized workforce members can reach ePHI.</w:t>
      </w:r>
    </w:p>
    <w:p>
      <w:pPr>
        <w:pStyle w:val="Heading2"/>
      </w:pPr>
      <w:r>
        <w:t>2. Scope</w:t>
      </w:r>
    </w:p>
    <w:p>
      <w:r>
        <w:t>All TogetherMindsAI workforce and all systems that store or transmit ePHI. Clinicians and clients are out of scope (not workforce).</w:t>
      </w:r>
    </w:p>
    <w:p>
      <w:pPr>
        <w:pStyle w:val="Heading2"/>
      </w:pPr>
      <w:r>
        <w:t>3. Policy statements</w:t>
      </w:r>
    </w:p>
    <w:p>
      <w:pPr>
        <w:pStyle w:val="ListNumber"/>
      </w:pPr>
      <w:r>
        <w:t xml:space="preserve">Access to ePHI is </w:t>
      </w:r>
      <w:r>
        <w:rPr>
          <w:b/>
        </w:rPr>
        <w:t>role-based</w:t>
      </w:r>
      <w:r>
        <w:t xml:space="preserve"> and limited to the </w:t>
      </w:r>
      <w:r>
        <w:rPr>
          <w:b/>
        </w:rPr>
        <w:t>minimum necessary</w:t>
      </w:r>
      <w:r>
        <w:t xml:space="preserve"> for the member's duties.</w:t>
      </w:r>
    </w:p>
    <w:p>
      <w:pPr>
        <w:pStyle w:val="ListNumber"/>
      </w:pPr>
      <w:r>
        <w:rPr>
          <w:b/>
        </w:rPr>
        <w:t>Designated personnel (the Security Officer) authorize all access</w:t>
      </w:r>
      <w:r>
        <w:t>; access is granted only after authorization, a signed confidentiality agreement, and required training (per TM-SEC-JD-001).</w:t>
      </w:r>
    </w:p>
    <w:p>
      <w:pPr>
        <w:pStyle w:val="ListNumber"/>
      </w:pPr>
      <w:r>
        <w:t xml:space="preserve">Every account uses a </w:t>
      </w:r>
      <w:r>
        <w:rPr>
          <w:b/>
        </w:rPr>
        <w:t>unique user ID</w:t>
      </w:r>
      <w:r>
        <w:t xml:space="preserve">; shared accounts are prohibited; </w:t>
      </w:r>
      <w:r>
        <w:rPr>
          <w:b/>
        </w:rPr>
        <w:t>MFA</w:t>
      </w:r>
      <w:r>
        <w:t xml:space="preserve"> is required on ePHI systems.</w:t>
      </w:r>
    </w:p>
    <w:p>
      <w:pPr>
        <w:pStyle w:val="ListNumber"/>
      </w:pPr>
      <w:r>
        <w:t xml:space="preserve">All access </w:t>
      </w:r>
      <w:r>
        <w:rPr>
          <w:b/>
        </w:rPr>
        <w:t>grants, modifications, and revocations are documented</w:t>
      </w:r>
      <w:r>
        <w:t>.</w:t>
      </w:r>
    </w:p>
    <w:p>
      <w:pPr>
        <w:pStyle w:val="ListNumber"/>
      </w:pPr>
      <w:r>
        <w:t xml:space="preserve">Access is </w:t>
      </w:r>
      <w:r>
        <w:rPr>
          <w:b/>
        </w:rPr>
        <w:t>reviewed at least annually</w:t>
      </w:r>
      <w:r>
        <w:t xml:space="preserve"> and </w:t>
      </w:r>
      <w:r>
        <w:rPr>
          <w:b/>
        </w:rPr>
        <w:t>modified as needed</w:t>
      </w:r>
      <w:r>
        <w:t xml:space="preserve"> (role change, new duties, new systems).</w:t>
      </w:r>
    </w:p>
    <w:p>
      <w:pPr>
        <w:pStyle w:val="ListNumber"/>
      </w:pPr>
      <w:r>
        <w:t xml:space="preserve">Access is </w:t>
      </w:r>
      <w:r>
        <w:rPr>
          <w:b/>
        </w:rPr>
        <w:t>revoked immediately</w:t>
      </w:r>
      <w:r>
        <w:t xml:space="preserve"> on termination or when no longer required.</w:t>
      </w:r>
    </w:p>
    <w:p>
      <w:pPr>
        <w:pStyle w:val="ListNumber"/>
      </w:pPr>
      <w:r>
        <w:t xml:space="preserve">A documented </w:t>
      </w:r>
      <w:r>
        <w:rPr>
          <w:b/>
        </w:rPr>
        <w:t>emergency access</w:t>
      </w:r>
      <w:r>
        <w:t xml:space="preserve"> procedure exists for urgent situations, and emergency access is logged.</w:t>
      </w:r>
    </w:p>
    <w:p>
      <w:pPr>
        <w:pStyle w:val="Heading2"/>
      </w:pPr>
      <w:r>
        <w:t>4. Procedures / controls</w:t>
      </w:r>
    </w:p>
    <w:p>
      <w:pPr>
        <w:pStyle w:val="Heading3"/>
      </w:pPr>
      <w:r>
        <w:t>4.1 Access authorization — §164.308(a)(4)(ii)(B)</w:t>
      </w:r>
    </w:p>
    <w:p>
      <w:pPr>
        <w:pStyle w:val="ListBullet"/>
      </w:pPr>
      <w:r>
        <w:t xml:space="preserve">The </w:t>
      </w:r>
      <w:r>
        <w:rPr>
          <w:b/>
        </w:rPr>
        <w:t>Security Officer</w:t>
      </w:r>
      <w:r>
        <w:t xml:space="preserve"> is the designated authority who grants, reviews, modifies, and terminates access.</w:t>
      </w:r>
    </w:p>
    <w:p>
      <w:pPr>
        <w:pStyle w:val="ListBullet"/>
      </w:pPr>
      <w:r>
        <w:t>Requests are evaluated against the role definitions (TM-SEC-JD-001) and the minimum-necessary principle.</w:t>
      </w:r>
    </w:p>
    <w:p>
      <w:pPr>
        <w:pStyle w:val="ListBullet"/>
      </w:pPr>
      <w:r>
        <w:t>Each authorization is recorded (who authorized, what access, when).</w:t>
      </w:r>
    </w:p>
    <w:p>
      <w:pPr>
        <w:pStyle w:val="Heading3"/>
      </w:pPr>
      <w:r>
        <w:t>4.2 Access establishment &amp; modification — §164.308(a)(4)(ii)(C)</w:t>
      </w:r>
    </w:p>
    <w:p>
      <w:pPr>
        <w:pStyle w:val="ListBullet"/>
      </w:pPr>
      <w:r>
        <w:rPr>
          <w:b/>
        </w:rPr>
        <w:t>Establish (grant):</w:t>
      </w:r>
      <w:r>
        <w:t xml:space="preserve"> once authorized, the Cloud/Infrastructure Admin provisions least-privilege access (GCP IAM, application roles) with a unique user ID and MFA.</w:t>
      </w:r>
    </w:p>
    <w:p>
      <w:pPr>
        <w:pStyle w:val="ListBullet"/>
      </w:pPr>
      <w:r>
        <w:rPr>
          <w:b/>
        </w:rPr>
        <w:t>Modify:</w:t>
      </w:r>
      <w:r>
        <w:t xml:space="preserve"> on role change, new duties, or new systems, access is adjusted to the new minimum-necessary set and any excess access is removed.</w:t>
      </w:r>
    </w:p>
    <w:p>
      <w:pPr>
        <w:pStyle w:val="ListBullet"/>
      </w:pPr>
      <w:r>
        <w:rPr>
          <w:b/>
        </w:rPr>
        <w:t>Document:</w:t>
      </w:r>
      <w:r>
        <w:t xml:space="preserve"> every grant and modification is recorded (user, access granted, date, authorizer).</w:t>
      </w:r>
    </w:p>
    <w:p>
      <w:pPr>
        <w:pStyle w:val="Heading3"/>
      </w:pPr>
      <w:r>
        <w:t>4.3 Access review</w:t>
      </w:r>
    </w:p>
    <w:p>
      <w:pPr>
        <w:pStyle w:val="ListBullet"/>
      </w:pPr>
      <w:r>
        <w:t xml:space="preserve">The Security Officer reviews all access </w:t>
      </w:r>
      <w:r>
        <w:rPr>
          <w:b/>
        </w:rPr>
        <w:t>at least annually</w:t>
      </w:r>
      <w:r>
        <w:t xml:space="preserve"> and after any significant change; stale or excess access is corrected promptly. Reviews are documented.</w:t>
      </w:r>
    </w:p>
    <w:p>
      <w:pPr>
        <w:pStyle w:val="Heading3"/>
      </w:pPr>
      <w:r>
        <w:t>4.4 Termination / de-provisioning</w:t>
      </w:r>
    </w:p>
    <w:p>
      <w:pPr>
        <w:pStyle w:val="ListBullet"/>
      </w:pPr>
      <w:r>
        <w:t xml:space="preserve">On termination or role change, </w:t>
      </w:r>
      <w:r>
        <w:rPr>
          <w:b/>
        </w:rPr>
        <w:t>all access</w:t>
      </w:r>
      <w:r>
        <w:t xml:space="preserve"> (accounts, API keys, OAuth sessions, devices) is revoked </w:t>
      </w:r>
      <w:r>
        <w:rPr>
          <w:b/>
        </w:rPr>
        <w:t>immediately</w:t>
      </w:r>
      <w:r>
        <w:t xml:space="preserve"> (target: same business day); shared secrets the member could have known are rotated. (See TM-SEC-POL-003 §4.4.)</w:t>
      </w:r>
    </w:p>
    <w:p>
      <w:pPr>
        <w:pStyle w:val="Heading3"/>
      </w:pPr>
      <w:r>
        <w:t>4.5 Technical access controls — §164.312(a)(1)</w:t>
      </w:r>
    </w:p>
    <w:p>
      <w:pPr>
        <w:pStyle w:val="ListBullet"/>
      </w:pPr>
      <w:r>
        <w:rPr>
          <w:b/>
        </w:rPr>
        <w:t>Unique user identification:</w:t>
      </w:r>
      <w:r>
        <w:t xml:space="preserve"> every user has a unique ID (OAuth identity / account id).</w:t>
      </w:r>
    </w:p>
    <w:p>
      <w:pPr>
        <w:pStyle w:val="ListBullet"/>
      </w:pPr>
      <w:r>
        <w:rPr>
          <w:b/>
        </w:rPr>
        <w:t>Authentication:</w:t>
      </w:r>
      <w:r>
        <w:t xml:space="preserve"> MFA required for ePHI systems.</w:t>
      </w:r>
    </w:p>
    <w:p>
      <w:pPr>
        <w:pStyle w:val="ListBullet"/>
      </w:pPr>
      <w:r>
        <w:rPr>
          <w:b/>
        </w:rPr>
        <w:t>Emergency access procedure:</w:t>
      </w:r>
      <w:r>
        <w:t xml:space="preserve"> a documented method to obtain necessary ePHI during an emergency; such access is logged and reviewed.</w:t>
      </w:r>
    </w:p>
    <w:p>
      <w:pPr>
        <w:pStyle w:val="ListBullet"/>
      </w:pPr>
      <w:r>
        <w:rPr>
          <w:b/>
        </w:rPr>
        <w:t>Automatic logoff:</w:t>
      </w:r>
      <w:r>
        <w:t xml:space="preserve"> sessions lock or terminate after a period of inactivity.</w:t>
      </w:r>
    </w:p>
    <w:p>
      <w:pPr>
        <w:pStyle w:val="ListBullet"/>
      </w:pPr>
      <w:r>
        <w:rPr>
          <w:b/>
        </w:rPr>
        <w:t>Audit:</w:t>
      </w:r>
      <w:r>
        <w:t xml:space="preserve"> access and access changes are logged (per TM-SEC-POL-009).</w:t>
      </w:r>
    </w:p>
    <w:p>
      <w:pPr>
        <w:pStyle w:val="Heading2"/>
      </w:pPr>
      <w:r>
        <w:t>5. Roles &amp; responsibilities</w:t>
      </w:r>
    </w:p>
    <w:p>
      <w:pPr>
        <w:pStyle w:val="ListBullet"/>
      </w:pPr>
      <w:r>
        <w:rPr>
          <w:b/>
        </w:rPr>
        <w:t>Security Officer:</w:t>
      </w:r>
      <w:r>
        <w:t xml:space="preserve"> authorize, review, and decide access; maintain access records.</w:t>
      </w:r>
    </w:p>
    <w:p>
      <w:pPr>
        <w:pStyle w:val="ListBullet"/>
      </w:pPr>
      <w:r>
        <w:rPr>
          <w:b/>
        </w:rPr>
        <w:t>Cloud/Infrastructure Admin:</w:t>
      </w:r>
      <w:r>
        <w:t xml:space="preserve"> provision and de-provision access per authorization.</w:t>
      </w:r>
    </w:p>
    <w:p>
      <w:pPr>
        <w:pStyle w:val="ListBullet"/>
      </w:pPr>
      <w:r>
        <w:rPr>
          <w:b/>
        </w:rPr>
        <w:t>Workforce members:</w:t>
      </w:r>
      <w:r>
        <w:t xml:space="preserve"> request only the access they need; report excess access or anomalies.</w:t>
      </w:r>
    </w:p>
    <w:p>
      <w:pPr>
        <w:pStyle w:val="Heading2"/>
      </w:pPr>
      <w:r>
        <w:t>6. HIPAA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this policy satisfies it</w:t>
            </w:r>
          </w:p>
        </w:tc>
      </w:tr>
      <w:tr>
        <w:tc>
          <w:tcPr>
            <w:tcW w:type="dxa" w:w="4320"/>
          </w:tcPr>
          <w:p>
            <w:r/>
            <w:r>
              <w:t>§164.308(a)(4)(i) Information Access Management</w:t>
            </w:r>
          </w:p>
        </w:tc>
        <w:tc>
          <w:tcPr>
            <w:tcW w:type="dxa" w:w="4320"/>
          </w:tcPr>
          <w:p>
            <w:r/>
            <w:r>
              <w:t>§3, §4.1</w:t>
            </w:r>
          </w:p>
        </w:tc>
      </w:tr>
      <w:tr>
        <w:tc>
          <w:tcPr>
            <w:tcW w:type="dxa" w:w="4320"/>
          </w:tcPr>
          <w:p>
            <w:r/>
            <w:r>
              <w:t>§164.308(a)(4)(ii)(B) Access Authorization</w:t>
            </w:r>
          </w:p>
        </w:tc>
        <w:tc>
          <w:tcPr>
            <w:tcW w:type="dxa" w:w="4320"/>
          </w:tcPr>
          <w:p>
            <w:r/>
            <w:r>
              <w:t>§4.1</w:t>
            </w:r>
          </w:p>
        </w:tc>
      </w:tr>
      <w:tr>
        <w:tc>
          <w:tcPr>
            <w:tcW w:type="dxa" w:w="4320"/>
          </w:tcPr>
          <w:p>
            <w:r/>
            <w:r>
              <w:t>§164.308(a)(4)(ii)(C) Access Establishment &amp; Modification</w:t>
            </w:r>
          </w:p>
        </w:tc>
        <w:tc>
          <w:tcPr>
            <w:tcW w:type="dxa" w:w="4320"/>
          </w:tcPr>
          <w:p>
            <w:r/>
            <w:r>
              <w:t>§4.2, §4.3</w:t>
            </w:r>
          </w:p>
        </w:tc>
      </w:tr>
      <w:tr>
        <w:tc>
          <w:tcPr>
            <w:tcW w:type="dxa" w:w="4320"/>
          </w:tcPr>
          <w:p>
            <w:r/>
            <w:r>
              <w:t>§164.312(a)(1) Access Control (technical)</w:t>
            </w:r>
          </w:p>
        </w:tc>
        <w:tc>
          <w:tcPr>
            <w:tcW w:type="dxa" w:w="4320"/>
          </w:tcPr>
          <w:p>
            <w:r/>
            <w:r>
              <w:t>§4.5</w:t>
            </w:r>
          </w:p>
        </w:tc>
      </w:tr>
    </w:tbl>
    <w:p/>
    <w:p>
      <w:pPr>
        <w:pStyle w:val="Heading2"/>
      </w:pPr>
      <w:r>
        <w:t>7. Enforcement &amp; sanctions</w:t>
      </w:r>
    </w:p>
    <w:p>
      <w:r>
        <w:t>Violations of this policy are handled per the Workforce Security &amp; Sanction Policy (TM-SEC-POL-003).</w:t>
      </w:r>
    </w:p>
    <w:p>
      <w:pPr>
        <w:pStyle w:val="Heading2"/>
      </w:pPr>
      <w:r>
        <w:t>8. Exceptions</w:t>
      </w:r>
    </w:p>
    <w:p>
      <w:r>
        <w:t>Time-bound exceptions require Security Officer approval with documented justification, compensating controls, and an expiry/review date.</w:t>
      </w:r>
    </w:p>
    <w:p>
      <w:pPr>
        <w:pStyle w:val="Heading2"/>
      </w:pPr>
      <w:r>
        <w:t>9. Related documents</w:t>
      </w:r>
    </w:p>
    <w:p>
      <w:pPr>
        <w:pStyle w:val="ListBullet"/>
      </w:pPr>
      <w:r>
        <w:rPr>
          <w:rFonts w:ascii="Consolas" w:hAnsi="Consolas"/>
        </w:rPr>
        <w:t>workforce-roles-ephi-access.docx</w:t>
      </w:r>
      <w:r>
        <w:t xml:space="preserve"> (TM-SEC-JD-001)</w:t>
      </w:r>
    </w:p>
    <w:p>
      <w:pPr>
        <w:pStyle w:val="ListBullet"/>
      </w:pPr>
      <w:r>
        <w:t>TM-SEC-POL-003 — Workforce Security &amp; Sanction Policy</w:t>
      </w:r>
    </w:p>
    <w:p>
      <w:pPr>
        <w:pStyle w:val="ListBullet"/>
      </w:pPr>
      <w:r>
        <w:t>TM-SEC-POL-009 — Audit Controls, Logging &amp; Monitoring</w:t>
      </w:r>
    </w:p>
    <w:p>
      <w:pPr>
        <w:pStyle w:val="ListBullet"/>
      </w:pPr>
      <w:r>
        <w:t>TM-SEC-POL-010 — Authentication &amp; Transmission Security</w:t>
      </w:r>
    </w:p>
    <w:p>
      <w:pPr>
        <w:pStyle w:val="ListBullet"/>
      </w:pPr>
      <w:r>
        <w:rPr>
          <w:rFonts w:ascii="Consolas" w:hAnsi="Consolas"/>
        </w:rPr>
        <w:t>security-policy-management-process.docx</w:t>
      </w:r>
      <w:r>
        <w:t xml:space="preserve"> (TM-SEC-PROC-001)</w:t>
      </w:r>
    </w:p>
    <w:p>
      <w:pPr>
        <w:pStyle w:val="Heading2"/>
      </w:pPr>
      <w:r>
        <w:t>10. Review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Reviewer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Approver</w:t>
            </w:r>
          </w:p>
        </w:tc>
      </w:tr>
      <w:tr>
        <w:tc>
          <w:tcPr>
            <w:tcW w:type="dxa" w:w="1728"/>
          </w:tcPr>
          <w:p>
            <w:r/>
            <w:r>
              <w:t>1.0</w:t>
            </w:r>
          </w:p>
        </w:tc>
        <w:tc>
          <w:tcPr>
            <w:tcW w:type="dxa" w:w="1728"/>
          </w:tcPr>
          <w:p>
            <w:r/>
            <w:r>
              <w:t>2026-06-16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  <w:tc>
          <w:tcPr>
            <w:tcW w:type="dxa" w:w="1728"/>
          </w:tcPr>
          <w:p>
            <w:r/>
            <w:r>
              <w:t>Initial version</w:t>
            </w:r>
          </w:p>
        </w:tc>
        <w:tc>
          <w:tcPr>
            <w:tcW w:type="dxa" w:w="1728"/>
          </w:tcPr>
          <w:p>
            <w:r/>
            <w:r>
              <w:t>Raja Gopalan</w:t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Approved by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Raja Gopalan</w:t>
            </w:r>
          </w:p>
        </w:tc>
        <w:tc>
          <w:tcPr>
            <w:tcW w:type="dxa" w:w="2160"/>
          </w:tcPr>
          <w:p>
            <w:r/>
            <w:r>
              <w:t>Security Officer</w:t>
            </w:r>
          </w:p>
        </w:tc>
        <w:tc>
          <w:tcPr>
            <w:tcW w:type="dxa" w:w="2160"/>
          </w:tcPr>
          <w:p>
            <w:r/>
            <w:r>
              <w:t>2026-06-16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