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Awareness &amp; Training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§164.308(a)(5)</w:t>
            </w:r>
          </w:p>
        </w:tc>
      </w:tr>
    </w:tbl>
    <w:p/>
    <w:p>
      <w:pPr>
        <w:pStyle w:val="Heading2"/>
      </w:pPr>
      <w:r>
        <w:t>1. Purpose</w:t>
      </w:r>
    </w:p>
    <w:p>
      <w:r>
        <w:t>Ensure every workforce member receives security awareness and training so they understand their responsibilities for protecting ePHI — including the four addressable implementation specifications of §164.308(a)(5)(ii): security reminders, protection from malicious software, log-in monitoring, and password management.</w:t>
      </w:r>
    </w:p>
    <w:p>
      <w:pPr>
        <w:pStyle w:val="Heading2"/>
      </w:pPr>
      <w:r>
        <w:t>2. Scope</w:t>
      </w:r>
    </w:p>
    <w:p>
      <w:r>
        <w:t>All TogetherMindsAI workforce (employees, contractors) with access to ePHI or the systems that store or transmit it. Clinicians and clients are out of scope (not workforce).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Every workforce member completes security awareness training </w:t>
      </w:r>
      <w:r>
        <w:rPr>
          <w:b/>
        </w:rPr>
        <w:t>before</w:t>
      </w:r>
      <w:r>
        <w:t xml:space="preserve"> ePHI access and </w:t>
      </w:r>
      <w:r>
        <w:rPr>
          <w:b/>
        </w:rPr>
        <w:t>at least annually</w:t>
      </w:r>
      <w:r>
        <w:t xml:space="preserve"> thereafter.</w:t>
      </w:r>
    </w:p>
    <w:p>
      <w:pPr>
        <w:pStyle w:val="ListNumber"/>
      </w:pPr>
      <w:r>
        <w:t>Additional ("triggered") training is delivered after a security incident, on material policy/system changes, or in response to new threats.</w:t>
      </w:r>
    </w:p>
    <w:p>
      <w:pPr>
        <w:pStyle w:val="ListNumber"/>
      </w:pPr>
      <w:r>
        <w:t xml:space="preserve">Training </w:t>
      </w:r>
      <w:r>
        <w:rPr>
          <w:b/>
        </w:rPr>
        <w:t>completion is documented and retained for 6 years</w:t>
      </w:r>
      <w:r>
        <w:t>.</w:t>
      </w:r>
    </w:p>
    <w:p>
      <w:pPr>
        <w:pStyle w:val="ListNumber"/>
      </w:pPr>
      <w:r>
        <w:t>Training covers all four addressable specifications below, plus general HIPAA Privacy/Security obligations.</w:t>
      </w:r>
    </w:p>
    <w:p>
      <w:pPr>
        <w:pStyle w:val="ListNumber"/>
      </w:pPr>
      <w:r>
        <w:t xml:space="preserve">Periodic </w:t>
      </w:r>
      <w:r>
        <w:rPr>
          <w:b/>
        </w:rPr>
        <w:t>security reminders</w:t>
      </w:r>
      <w:r>
        <w:t xml:space="preserve"> are issued to all workforce.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Training program</w:t>
      </w:r>
    </w:p>
    <w:p>
      <w:pPr>
        <w:pStyle w:val="ListBullet"/>
      </w:pPr>
      <w:r>
        <w:rPr>
          <w:b/>
        </w:rPr>
        <w:t>New hire:</w:t>
      </w:r>
      <w:r>
        <w:t xml:space="preserve"> complete training before access is granted.</w:t>
      </w:r>
    </w:p>
    <w:p>
      <w:pPr>
        <w:pStyle w:val="ListBullet"/>
      </w:pPr>
      <w:r>
        <w:rPr>
          <w:b/>
        </w:rPr>
        <w:t>Annual:</w:t>
      </w:r>
      <w:r>
        <w:t xml:space="preserve"> refresher for all workforce.</w:t>
      </w:r>
    </w:p>
    <w:p>
      <w:pPr>
        <w:pStyle w:val="ListBullet"/>
      </w:pPr>
      <w:r>
        <w:rPr>
          <w:b/>
        </w:rPr>
        <w:t>Triggered:</w:t>
      </w:r>
      <w:r>
        <w:t xml:space="preserve"> after incidents, new threats, new/changed systems, or policy changes.</w:t>
      </w:r>
    </w:p>
    <w:p>
      <w:pPr>
        <w:pStyle w:val="ListBullet"/>
      </w:pPr>
      <w:r>
        <w:t>Completion is tracked in the training log (name, role, type, date).</w:t>
      </w:r>
    </w:p>
    <w:p>
      <w:pPr>
        <w:pStyle w:val="Heading3"/>
      </w:pPr>
      <w:r>
        <w:t>4.2 Security reminders — §164.308(a)(5)(ii)(A)</w:t>
      </w:r>
    </w:p>
    <w:p>
      <w:r>
        <w:t>Periodic reminders (e.g., quarterly) covering phishing and social engineering, password hygiene, screen-lock / clean-desk practices, safe handling of ePHI, and how to report suspicious activity.</w:t>
      </w:r>
    </w:p>
    <w:p>
      <w:pPr>
        <w:pStyle w:val="Heading3"/>
      </w:pPr>
      <w:r>
        <w:t>4.3 Protection from malicious software — §164.308(a)(5)(ii)(B)</w:t>
      </w:r>
    </w:p>
    <w:p>
      <w:r>
        <w:t>Train workforce to recognize and avoid malware (suspicious links/attachments, unapproved software), keep endpoint protection enabled and updated, and report suspected infections immediately.</w:t>
      </w:r>
    </w:p>
    <w:p>
      <w:pPr>
        <w:pStyle w:val="Heading3"/>
      </w:pPr>
      <w:r>
        <w:t>4.4 Log-in monitoring — §164.308(a)(5)(ii)(C)</w:t>
      </w:r>
    </w:p>
    <w:p>
      <w:r>
        <w:t>Train workforce that log-in attempts are monitored; how to recognize and report failed or anomalous log-ins and account lockouts. Ties to Audit Controls (TM-SEC-POL-009).</w:t>
      </w:r>
    </w:p>
    <w:p>
      <w:pPr>
        <w:pStyle w:val="Heading3"/>
      </w:pPr>
      <w:r>
        <w:t>4.5 Password management — §164.308(a)(5)(ii)(D)</w:t>
      </w:r>
    </w:p>
    <w:p>
      <w:r>
        <w:t>Training explicitly covers all of the following:</w:t>
      </w:r>
    </w:p>
    <w:p>
      <w:pPr>
        <w:pStyle w:val="ListNumber"/>
      </w:pPr>
      <w:r>
        <w:rPr>
          <w:b/>
        </w:rPr>
        <w:t>Roles &amp; responsibilities:</w:t>
      </w:r>
      <w:r>
        <w:t xml:space="preserve"> each member is accountable for the security of their own credentials — never share accounts, and report any suspected compromise.</w:t>
      </w:r>
    </w:p>
    <w:p>
      <w:pPr>
        <w:pStyle w:val="ListNumber"/>
      </w:pPr>
      <w:r>
        <w:rPr>
          <w:b/>
        </w:rPr>
        <w:t>Safeguarding passwords:</w:t>
      </w:r>
      <w:r>
        <w:t xml:space="preserve"> never write them down or store them in plaintext; use the approved password manager; never reuse an ePHI-system password elsewhere; never enter credentials on untrusted devices; lock unattended screens.</w:t>
      </w:r>
    </w:p>
    <w:p>
      <w:pPr>
        <w:pStyle w:val="ListNumber"/>
      </w:pPr>
      <w:r>
        <w:rPr>
          <w:b/>
        </w:rPr>
        <w:t>Responding to a compromised password:</w:t>
      </w:r>
      <w:r>
        <w:t xml:space="preserve"> change it immediately, report to the Security Officer, who assesses for ePHI exposure and triggers the Incident Response / Breach process (TM-SEC-POL-006) if warranted and rotates related secrets.</w:t>
      </w:r>
    </w:p>
    <w:p>
      <w:pPr>
        <w:pStyle w:val="ListNumber"/>
      </w:pPr>
      <w:r>
        <w:rPr>
          <w:b/>
        </w:rPr>
        <w:t>Proper composition &amp; change:</w:t>
      </w:r>
      <w:r>
        <w:t xml:space="preserve"> use strong passphrases — long, memorable, and avoiding easily guessed or common phrases and personal information (aligned with </w:t>
      </w:r>
      <w:r>
        <w:rPr>
          <w:b/>
        </w:rPr>
        <w:t>NIST SP 800-63B</w:t>
      </w:r>
      <w:r>
        <w:t xml:space="preserve">); unique per system; </w:t>
      </w:r>
      <w:r>
        <w:rPr>
          <w:b/>
        </w:rPr>
        <w:t>MFA required</w:t>
      </w:r>
      <w:r>
        <w:t xml:space="preserve"> on ePHI systems; change immediately when compromise is suspected.</w:t>
      </w:r>
    </w:p>
    <w:p>
      <w:pPr>
        <w:pStyle w:val="Heading3"/>
      </w:pPr>
      <w:r>
        <w:t>4.6 Documentation</w:t>
      </w:r>
    </w:p>
    <w:p>
      <w:r>
        <w:t>Maintain a training log (name, role, training type, date completed) and retain it for 6 years.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Security Officer:</w:t>
      </w:r>
      <w:r>
        <w:t xml:space="preserve"> owns the training program — content, schedule, records, and reminders.</w:t>
      </w:r>
    </w:p>
    <w:p>
      <w:pPr>
        <w:pStyle w:val="ListBullet"/>
      </w:pPr>
      <w:r>
        <w:rPr>
          <w:b/>
        </w:rPr>
        <w:t>Workforce members:</w:t>
      </w:r>
      <w:r>
        <w:t xml:space="preserve"> complete required training on time; apply the practices; report issues.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§164.308(a)(5)(i) Training</w:t>
            </w:r>
          </w:p>
        </w:tc>
        <w:tc>
          <w:tcPr>
            <w:tcW w:type="dxa" w:w="4320"/>
          </w:tcPr>
          <w:p>
            <w:r/>
            <w:r>
              <w:t>§3, §4.1</w:t>
            </w:r>
          </w:p>
        </w:tc>
      </w:tr>
      <w:tr>
        <w:tc>
          <w:tcPr>
            <w:tcW w:type="dxa" w:w="4320"/>
          </w:tcPr>
          <w:p>
            <w:r/>
            <w:r>
              <w:t>§164.308(a)(5)(ii)(A) Security reminders</w:t>
            </w:r>
          </w:p>
        </w:tc>
        <w:tc>
          <w:tcPr>
            <w:tcW w:type="dxa" w:w="4320"/>
          </w:tcPr>
          <w:p>
            <w:r/>
            <w:r>
              <w:t>§4.2</w:t>
            </w:r>
          </w:p>
        </w:tc>
      </w:tr>
      <w:tr>
        <w:tc>
          <w:tcPr>
            <w:tcW w:type="dxa" w:w="4320"/>
          </w:tcPr>
          <w:p>
            <w:r/>
            <w:r>
              <w:t>§164.308(a)(5)(ii)(B) Protection from malicious software</w:t>
            </w:r>
          </w:p>
        </w:tc>
        <w:tc>
          <w:tcPr>
            <w:tcW w:type="dxa" w:w="4320"/>
          </w:tcPr>
          <w:p>
            <w:r/>
            <w:r>
              <w:t>§4.3</w:t>
            </w:r>
          </w:p>
        </w:tc>
      </w:tr>
      <w:tr>
        <w:tc>
          <w:tcPr>
            <w:tcW w:type="dxa" w:w="4320"/>
          </w:tcPr>
          <w:p>
            <w:r/>
            <w:r>
              <w:t>§164.308(a)(5)(ii)(C) Log-in monitoring</w:t>
            </w:r>
          </w:p>
        </w:tc>
        <w:tc>
          <w:tcPr>
            <w:tcW w:type="dxa" w:w="4320"/>
          </w:tcPr>
          <w:p>
            <w:r/>
            <w:r>
              <w:t>§4.4</w:t>
            </w:r>
          </w:p>
        </w:tc>
      </w:tr>
      <w:tr>
        <w:tc>
          <w:tcPr>
            <w:tcW w:type="dxa" w:w="4320"/>
          </w:tcPr>
          <w:p>
            <w:r/>
            <w:r>
              <w:t>§164.308(a)(5)(ii)(D) Password management</w:t>
            </w:r>
          </w:p>
        </w:tc>
        <w:tc>
          <w:tcPr>
            <w:tcW w:type="dxa" w:w="4320"/>
          </w:tcPr>
          <w:p>
            <w:r/>
            <w:r>
              <w:t>§4.5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Non-completion of required training and violations of this policy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rPr>
          <w:rFonts w:ascii="Consolas" w:hAnsi="Consolas"/>
        </w:rPr>
        <w:t>workforce-roles-ephi-access.docx</w:t>
      </w:r>
      <w:r>
        <w:t xml:space="preserve"> (TM-SEC-JD-001)</w:t>
      </w:r>
    </w:p>
    <w:p>
      <w:pPr>
        <w:pStyle w:val="ListBullet"/>
      </w:pPr>
      <w:r>
        <w:t>TM-SEC-POL-003 — Workforce Security &amp; Sanction Policy</w:t>
      </w:r>
    </w:p>
    <w:p>
      <w:pPr>
        <w:pStyle w:val="ListBullet"/>
      </w:pPr>
      <w:r>
        <w:t>TM-SEC-POL-006 — Security Incident Response</w:t>
      </w:r>
    </w:p>
    <w:p>
      <w:pPr>
        <w:pStyle w:val="ListBullet"/>
      </w:pPr>
      <w:r>
        <w:t>TM-SEC-POL-009 — Audit Controls, Logging &amp; Monitoring</w:t>
      </w:r>
    </w:p>
    <w:p>
      <w:pPr>
        <w:pStyle w:val="ListBullet"/>
      </w:pPr>
      <w:r>
        <w:t>TM-SEC-POL-010 — Authentication &amp; Transmission Security</w:t>
      </w:r>
    </w:p>
    <w:p>
      <w:pPr>
        <w:pStyle w:val="ListBullet"/>
      </w:pPr>
      <w:r>
        <w:rPr>
          <w:rFonts w:ascii="Consolas" w:hAnsi="Consolas"/>
        </w:rPr>
        <w:t>security-policy-management-process.docx</w:t>
      </w:r>
      <w:r>
        <w:t xml:space="preserve"> (TM-SEC-PROC-001)</w:t>
      </w:r>
    </w:p>
    <w:p>
      <w:pPr>
        <w:pStyle w:val="Heading2"/>
      </w:pPr>
      <w:r>
        <w:t>10. 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2026-06-16</w:t>
            </w:r>
          </w:p>
        </w:tc>
        <w:tc>
          <w:tcPr>
            <w:tcW w:type="dxa" w:w="1728"/>
          </w:tcPr>
          <w:p>
            <w:r>
              <w:t>Raja Gopalan</w:t>
            </w:r>
          </w:p>
        </w:tc>
        <w:tc>
          <w:tcPr>
            <w:tcW w:type="dxa" w:w="1728"/>
          </w:tcPr>
          <w:p>
            <w:r>
              <w:t>Initial version</w:t>
            </w:r>
          </w:p>
        </w:tc>
        <w:tc>
          <w:tcPr>
            <w:tcW w:type="dxa" w:w="1728"/>
          </w:tcPr>
          <w:p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Raja Gopalan</w:t>
            </w:r>
          </w:p>
        </w:tc>
        <w:tc>
          <w:tcPr>
            <w:tcW w:type="dxa" w:w="2160"/>
          </w:tcPr>
          <w:p>
            <w:r>
              <w:t>Security Officer</w:t>
            </w:r>
          </w:p>
        </w:tc>
        <w:tc>
          <w:tcPr>
            <w:tcW w:type="dxa" w:w="2160"/>
          </w:tcPr>
          <w:p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