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Controls, Logging &amp; Monitoring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§164.312(b)</w:t>
            </w:r>
          </w:p>
        </w:tc>
      </w:tr>
    </w:tbl>
    <w:p/>
    <w:p>
      <w:pPr>
        <w:pStyle w:val="Heading2"/>
      </w:pPr>
      <w:r>
        <w:t>1. Purpose</w:t>
      </w:r>
    </w:p>
    <w:p>
      <w:r>
        <w:t>Record and examine activity in systems that contain or use ePHI.</w:t>
      </w:r>
    </w:p>
    <w:p>
      <w:pPr>
        <w:pStyle w:val="Heading2"/>
      </w:pPr>
      <w:r>
        <w:t>2. Scope</w:t>
      </w:r>
    </w:p>
    <w:p>
      <w:r>
        <w:t>The application, database, and supporting systems.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Security-relevant events are </w:t>
      </w:r>
      <w:r>
        <w:rPr>
          <w:b/>
        </w:rPr>
        <w:t>logged</w:t>
      </w:r>
      <w:r>
        <w:t xml:space="preserve"> (access, message events, authentication, administrative actions).</w:t>
      </w:r>
    </w:p>
    <w:p>
      <w:pPr>
        <w:pStyle w:val="ListNumber"/>
      </w:pPr>
      <w:r>
        <w:t xml:space="preserve">The audit log is </w:t>
      </w:r>
      <w:r>
        <w:rPr>
          <w:b/>
        </w:rPr>
        <w:t>tamper-evident</w:t>
      </w:r>
      <w:r>
        <w:t xml:space="preserve"> and protected from modification.</w:t>
      </w:r>
    </w:p>
    <w:p>
      <w:pPr>
        <w:pStyle w:val="ListNumber"/>
      </w:pPr>
      <w:r>
        <w:t xml:space="preserve">Logs are </w:t>
      </w:r>
      <w:r>
        <w:rPr>
          <w:b/>
        </w:rPr>
        <w:t>reviewed</w:t>
      </w:r>
      <w:r>
        <w:t xml:space="preserve"> periodically and on suspicion of an incident.</w:t>
      </w:r>
    </w:p>
    <w:p>
      <w:pPr>
        <w:pStyle w:val="ListNumber"/>
      </w:pPr>
      <w:r>
        <w:t xml:space="preserve">Logs are </w:t>
      </w:r>
      <w:r>
        <w:rPr>
          <w:b/>
        </w:rPr>
        <w:t>retained for 6 years</w:t>
      </w:r>
      <w:r>
        <w:t>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Audit mechanisms — §164.312(b)</w:t>
      </w:r>
    </w:p>
    <w:p>
      <w:pPr>
        <w:pStyle w:val="ListBullet"/>
      </w:pPr>
      <w:r>
        <w:t xml:space="preserve">The application maintains an </w:t>
      </w:r>
      <w:r>
        <w:rPr>
          <w:b/>
        </w:rPr>
        <w:t>append-only, SHA-256 hash-chained audit log</w:t>
      </w:r>
      <w:r>
        <w:t xml:space="preserve"> (</w:t>
      </w:r>
      <w:r>
        <w:rPr>
          <w:rFonts w:ascii="Consolas" w:hAnsi="Consolas"/>
        </w:rPr>
        <w:t>AuditLog</w:t>
      </w:r>
      <w:r>
        <w:t>) recording security events (sessions, message events, logins, registrations, purges). The hash chain makes any modification or deletion detectable.</w:t>
      </w:r>
    </w:p>
    <w:p>
      <w:pPr>
        <w:pStyle w:val="Heading3"/>
      </w:pPr>
      <w:r>
        <w:t>4.2 Log review</w:t>
      </w:r>
    </w:p>
    <w:p>
      <w:pPr>
        <w:pStyle w:val="ListBullet"/>
      </w:pPr>
      <w:r>
        <w:t>The Security Officer reviews the audit log periodically and during incident investigations; anomalies are escalated (TM-SEC-POL-006).</w:t>
      </w:r>
    </w:p>
    <w:p>
      <w:pPr>
        <w:pStyle w:val="Heading3"/>
      </w:pPr>
      <w:r>
        <w:t>4.3 Protection &amp; retention</w:t>
      </w:r>
    </w:p>
    <w:p>
      <w:pPr>
        <w:pStyle w:val="ListBullet"/>
      </w:pPr>
      <w:r>
        <w:t>Logs record metadata, not message content; they are retained 6 years and protected by the same access controls and encryption as other data.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reviews logs; </w:t>
      </w:r>
      <w:r>
        <w:rPr>
          <w:b/>
        </w:rPr>
        <w:t>Cloud/Infra Admin:</w:t>
      </w:r>
      <w:r>
        <w:t xml:space="preserve"> maintains logging.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§164.312(b) Audit Controls</w:t>
            </w:r>
          </w:p>
        </w:tc>
        <w:tc>
          <w:tcPr>
            <w:tcW w:type="dxa" w:w="4320"/>
          </w:tcPr>
          <w:p>
            <w:r/>
            <w:r>
              <w:t>§4.1–4.3</w:t>
            </w:r>
          </w:p>
        </w:tc>
      </w:tr>
      <w:tr>
        <w:tc>
          <w:tcPr>
            <w:tcW w:type="dxa" w:w="4320"/>
          </w:tcPr>
          <w:p>
            <w:r/>
            <w:r>
              <w:t>§164.308(a)(1)(ii)(D) Activity Review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TM-SEC-POL-001; TM-SEC-POL-006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