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Breach Notification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§164.400-414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 how potential breaches of unsecured ePHI are assessed and notified, given TogetherMindsAI's role as a Business Associate.</w:t>
      </w:r>
    </w:p>
    <w:p>
      <w:pPr>
        <w:pStyle w:val="Heading2"/>
      </w:pPr>
      <w:r>
        <w:t>2. Scope</w:t>
      </w:r>
    </w:p>
    <w:p>
      <w:r>
        <w:t>All ePHI and all workforce/vendors.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Suspected breaches are </w:t>
      </w:r>
      <w:r>
        <w:rPr>
          <w:b/>
        </w:rPr>
        <w:t>assessed promptly</w:t>
      </w:r>
      <w:r>
        <w:t xml:space="preserve"> using the four-factor risk assessment.</w:t>
      </w:r>
    </w:p>
    <w:p>
      <w:pPr>
        <w:pStyle w:val="ListNumber"/>
      </w:pPr>
      <w:r>
        <w:t xml:space="preserve">As a Business Associate, TogetherMindsAI </w:t>
      </w:r>
      <w:r>
        <w:rPr>
          <w:b/>
        </w:rPr>
        <w:t>notifies the affected Covered Entity (clinician) without unreasonable delay and no later than 60 days</w:t>
      </w:r>
      <w:r>
        <w:t xml:space="preserve"> after discovery.</w:t>
      </w:r>
    </w:p>
    <w:p>
      <w:pPr>
        <w:pStyle w:val="ListNumber"/>
      </w:pPr>
      <w:r>
        <w:t>The Covered Entity handles individual/HHS/media notification; TogetherMindsAI supplies the information needed.</w:t>
      </w:r>
    </w:p>
    <w:p>
      <w:pPr>
        <w:pStyle w:val="ListNumber"/>
      </w:pPr>
      <w:r>
        <w:t xml:space="preserve">All breach assessments and notifications are </w:t>
      </w:r>
      <w:r>
        <w:rPr>
          <w:b/>
        </w:rPr>
        <w:t>documented</w:t>
      </w:r>
      <w:r>
        <w:t xml:space="preserve"> and retained 6 years.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Discovery &amp; assessment — §164.402, §164.410</w:t>
      </w:r>
    </w:p>
    <w:p>
      <w:pPr>
        <w:pStyle w:val="ListBullet"/>
      </w:pPr>
      <w:r>
        <w:t>On discovery (often via Incident Response, TM-SEC-POL-006), assess whether unsecured ePHI was compromised using the four factors (nature/extent of PHI, who accessed it, whether it was acquired/viewed, and mitigation).</w:t>
      </w:r>
    </w:p>
    <w:p>
      <w:pPr>
        <w:pStyle w:val="Heading3"/>
      </w:pPr>
      <w:r>
        <w:t>4.2 Notification</w:t>
      </w:r>
    </w:p>
    <w:p>
      <w:pPr>
        <w:pStyle w:val="ListBullet"/>
      </w:pPr>
      <w:r>
        <w:t>Notify the affected Covered Entity (clinician) without unreasonable delay (≤60 days), providing the individuals affected and incident details so they can meet their §164.404 obligations (HHS portal; media if ≥500).</w:t>
      </w:r>
    </w:p>
    <w:p>
      <w:pPr>
        <w:pStyle w:val="Heading3"/>
      </w:pPr>
      <w:r>
        <w:t>4.3 Documentation</w:t>
      </w:r>
    </w:p>
    <w:p>
      <w:pPr>
        <w:pStyle w:val="ListBullet"/>
      </w:pPr>
      <w:r>
        <w:t>Document the assessment, decision, and notifications; retain 6 years.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leads breach assessment and notification.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§164.402 Definitions / risk assessment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§164.410 BA breach notification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§164.414 Documentation</w:t>
            </w:r>
          </w:p>
        </w:tc>
        <w:tc>
          <w:tcPr>
            <w:tcW w:type="dxa" w:w="4320"/>
          </w:tcPr>
          <w:p>
            <w:r/>
            <w:r>
              <w:t>§4.3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TM-SEC-POL-006; TM-SEC-POL-011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