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Associate &amp; Vendor Management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TM-SEC-POL-011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/>
            <w:r>
              <w:t>Security Officer (Raja Gopalan)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t>Approved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Last reviewed</w:t>
            </w:r>
          </w:p>
        </w:tc>
        <w:tc>
          <w:tcPr>
            <w:tcW w:type="dxa" w:w="4320"/>
          </w:tcPr>
          <w:p>
            <w:r/>
            <w:r>
              <w:t>2026-06-16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Next review due</w:t>
            </w:r>
          </w:p>
        </w:tc>
        <w:tc>
          <w:tcPr>
            <w:tcW w:type="dxa" w:w="4320"/>
          </w:tcPr>
          <w:p>
            <w:r/>
            <w:r>
              <w:t>2027-06-16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HIPAA citation(s)</w:t>
            </w:r>
          </w:p>
        </w:tc>
        <w:tc>
          <w:tcPr>
            <w:tcW w:type="dxa" w:w="4320"/>
          </w:tcPr>
          <w:p>
            <w:r/>
            <w:r>
              <w:t>45 CFR §164.308(b)(1); §164.314(a)</w:t>
            </w:r>
          </w:p>
        </w:tc>
      </w:tr>
    </w:tbl>
    <w:p/>
    <w:p>
      <w:pPr>
        <w:pStyle w:val="Heading2"/>
      </w:pPr>
      <w:r>
        <w:t>1. Purpose</w:t>
      </w:r>
    </w:p>
    <w:p>
      <w:r>
        <w:t>Ensure third parties that create, receive, maintain, or transmit ePHI on TogetherMindsAI's behalf are bound by Business Associate Agreements and managed for risk.</w:t>
      </w:r>
    </w:p>
    <w:p>
      <w:pPr>
        <w:pStyle w:val="Heading2"/>
      </w:pPr>
      <w:r>
        <w:t>2. Scope</w:t>
      </w:r>
    </w:p>
    <w:p>
      <w:r>
        <w:t>All vendors/subcontractors with access to ePHI.</w:t>
      </w:r>
    </w:p>
    <w:p>
      <w:pPr>
        <w:pStyle w:val="Heading2"/>
      </w:pPr>
      <w:r>
        <w:t>3. Policy statements</w:t>
      </w:r>
    </w:p>
    <w:p>
      <w:pPr>
        <w:pStyle w:val="ListNumber"/>
      </w:pPr>
      <w:r>
        <w:t xml:space="preserve">A </w:t>
      </w:r>
      <w:r>
        <w:rPr>
          <w:b/>
        </w:rPr>
        <w:t>BAA is executed</w:t>
      </w:r>
      <w:r>
        <w:t xml:space="preserve"> with every vendor that handles ePHI </w:t>
      </w:r>
      <w:r>
        <w:rPr>
          <w:b/>
        </w:rPr>
        <w:t>before</w:t>
      </w:r>
      <w:r>
        <w:t xml:space="preserve"> ePHI is shared.</w:t>
      </w:r>
    </w:p>
    <w:p>
      <w:pPr>
        <w:pStyle w:val="ListNumber"/>
      </w:pPr>
      <w:r>
        <w:t xml:space="preserve">Vendors are </w:t>
      </w:r>
      <w:r>
        <w:rPr>
          <w:b/>
        </w:rPr>
        <w:t>inventoried and risk-assessed</w:t>
      </w:r>
      <w:r>
        <w:t xml:space="preserve"> (</w:t>
      </w:r>
      <w:r>
        <w:rPr>
          <w:rFonts w:ascii="Consolas" w:hAnsi="Consolas"/>
        </w:rPr>
        <w:t>sra_vendors.csv</w:t>
      </w:r>
      <w:r>
        <w:t>).</w:t>
      </w:r>
    </w:p>
    <w:p>
      <w:pPr>
        <w:pStyle w:val="ListNumber"/>
      </w:pPr>
      <w:r>
        <w:t xml:space="preserve">Vendor compliance is </w:t>
      </w:r>
      <w:r>
        <w:rPr>
          <w:b/>
        </w:rPr>
        <w:t>reviewed</w:t>
      </w:r>
      <w:r>
        <w:t xml:space="preserve"> periodically.</w:t>
      </w:r>
    </w:p>
    <w:p>
      <w:pPr>
        <w:pStyle w:val="ListNumber"/>
      </w:pPr>
      <w:r>
        <w:t xml:space="preserve">Vendors that will not sign a BAA are </w:t>
      </w:r>
      <w:r>
        <w:rPr>
          <w:b/>
        </w:rPr>
        <w:t>not used</w:t>
      </w:r>
      <w:r>
        <w:t xml:space="preserve"> for ePHI.</w:t>
      </w:r>
    </w:p>
    <w:p>
      <w:pPr>
        <w:pStyle w:val="Heading2"/>
      </w:pPr>
      <w:r>
        <w:t>4. Procedures / controls</w:t>
      </w:r>
    </w:p>
    <w:p>
      <w:pPr>
        <w:pStyle w:val="Heading3"/>
      </w:pPr>
      <w:r>
        <w:t>4.1 Identification &amp; BAAs — §164.308(b)(1), §164.314(a)</w:t>
      </w:r>
    </w:p>
    <w:p>
      <w:pPr>
        <w:pStyle w:val="ListBullet"/>
      </w:pPr>
      <w:r>
        <w:t>Identify vendors touching ePHI (e.g., GCP hosting; Anthropic AI co-pilot). Execute a BAA with each before sharing ePHI.</w:t>
      </w:r>
    </w:p>
    <w:p>
      <w:pPr>
        <w:pStyle w:val="ListBullet"/>
      </w:pPr>
      <w:r>
        <w:rPr>
          <w:b/>
        </w:rPr>
        <w:t>Open items:</w:t>
      </w:r>
      <w:r>
        <w:t xml:space="preserve"> execute the </w:t>
      </w:r>
      <w:r>
        <w:rPr>
          <w:b/>
        </w:rPr>
        <w:t>GCP BAA</w:t>
      </w:r>
      <w:r>
        <w:t xml:space="preserve">; the </w:t>
      </w:r>
      <w:r>
        <w:rPr>
          <w:b/>
        </w:rPr>
        <w:t>Anthropic BAA is required</w:t>
      </w:r>
      <w:r>
        <w:t xml:space="preserve"> (the co-pilot transmits transcript text to the Claude API) with zero-data-retention enabled.</w:t>
      </w:r>
    </w:p>
    <w:p>
      <w:pPr>
        <w:pStyle w:val="Heading3"/>
      </w:pPr>
      <w:r>
        <w:t>4.2 Inventory &amp; risk assessment</w:t>
      </w:r>
    </w:p>
    <w:p>
      <w:pPr>
        <w:pStyle w:val="ListBullet"/>
      </w:pPr>
      <w:r>
        <w:t>Maintain the vendor inventory (</w:t>
      </w:r>
      <w:r>
        <w:rPr>
          <w:rFonts w:ascii="Consolas" w:hAnsi="Consolas"/>
        </w:rPr>
        <w:t>sra_vendors.csv</w:t>
      </w:r>
      <w:r>
        <w:t>) with assurance (BAA) and risk-assessment status per vendor.</w:t>
      </w:r>
    </w:p>
    <w:p>
      <w:pPr>
        <w:pStyle w:val="Heading3"/>
      </w:pPr>
      <w:r>
        <w:t>4.3 Review</w:t>
      </w:r>
    </w:p>
    <w:p>
      <w:pPr>
        <w:pStyle w:val="ListBullet"/>
      </w:pPr>
      <w:r>
        <w:t>Re-review vendor BAAs and risk at least annually and on change.</w:t>
      </w:r>
    </w:p>
    <w:p>
      <w:pPr>
        <w:pStyle w:val="Heading2"/>
      </w:pPr>
      <w:r>
        <w:t>5. Roles &amp; responsibilities</w:t>
      </w:r>
    </w:p>
    <w:p>
      <w:pPr>
        <w:pStyle w:val="ListBullet"/>
      </w:pPr>
      <w:r>
        <w:rPr>
          <w:b/>
        </w:rPr>
        <w:t>Security Officer:</w:t>
      </w:r>
      <w:r>
        <w:t xml:space="preserve"> executes and tracks BAAs and vendor risk.</w:t>
      </w:r>
    </w:p>
    <w:p>
      <w:pPr>
        <w:pStyle w:val="Heading2"/>
      </w:pPr>
      <w:r>
        <w:t>6. HIPAA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How this policy satisfies it</w:t>
            </w:r>
          </w:p>
        </w:tc>
      </w:tr>
      <w:tr>
        <w:tc>
          <w:tcPr>
            <w:tcW w:type="dxa" w:w="4320"/>
          </w:tcPr>
          <w:p>
            <w:r/>
            <w:r>
              <w:t>§164.308(b)(1) Business Associate Contracts</w:t>
            </w:r>
          </w:p>
        </w:tc>
        <w:tc>
          <w:tcPr>
            <w:tcW w:type="dxa" w:w="4320"/>
          </w:tcPr>
          <w:p>
            <w:r/>
            <w:r>
              <w:t>§4.1</w:t>
            </w:r>
          </w:p>
        </w:tc>
      </w:tr>
      <w:tr>
        <w:tc>
          <w:tcPr>
            <w:tcW w:type="dxa" w:w="4320"/>
          </w:tcPr>
          <w:p>
            <w:r/>
            <w:r>
              <w:t>§164.314(a) Organizational Requirements</w:t>
            </w:r>
          </w:p>
        </w:tc>
        <w:tc>
          <w:tcPr>
            <w:tcW w:type="dxa" w:w="4320"/>
          </w:tcPr>
          <w:p>
            <w:r/>
            <w:r>
              <w:t>§4.1, §4.3</w:t>
            </w:r>
          </w:p>
        </w:tc>
      </w:tr>
    </w:tbl>
    <w:p/>
    <w:p>
      <w:pPr>
        <w:pStyle w:val="Heading2"/>
      </w:pPr>
      <w:r>
        <w:t>7. Enforcement &amp; sanctions</w:t>
      </w:r>
    </w:p>
    <w:p>
      <w:r>
        <w:t>Violations of this policy are handled per the Workforce Security &amp; Sanction Policy (TM-SEC-POL-003).</w:t>
      </w:r>
    </w:p>
    <w:p>
      <w:pPr>
        <w:pStyle w:val="Heading2"/>
      </w:pPr>
      <w:r>
        <w:t>8. Exceptions</w:t>
      </w:r>
    </w:p>
    <w:p>
      <w:r>
        <w:t>Time-bound exceptions require Security Officer approval with documented justification, compensating controls, and an expiry/review date.</w:t>
      </w:r>
    </w:p>
    <w:p>
      <w:pPr>
        <w:pStyle w:val="Heading2"/>
      </w:pPr>
      <w:r>
        <w:t>9. Related documents</w:t>
      </w:r>
    </w:p>
    <w:p>
      <w:pPr>
        <w:pStyle w:val="ListBullet"/>
      </w:pPr>
      <w:r>
        <w:rPr>
          <w:rFonts w:ascii="Consolas" w:hAnsi="Consolas"/>
        </w:rPr>
        <w:t>sra_vendors.csv</w:t>
      </w:r>
      <w:r>
        <w:t>; TM-SEC-POL-013; TM-SEC-POL-010</w:t>
      </w:r>
    </w:p>
    <w:p>
      <w:pPr>
        <w:pStyle w:val="Heading2"/>
      </w:pPr>
      <w:r>
        <w:t>Review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Reviewer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Change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Approver</w:t>
            </w:r>
          </w:p>
        </w:tc>
      </w:tr>
      <w:tr>
        <w:tc>
          <w:tcPr>
            <w:tcW w:type="dxa" w:w="1728"/>
          </w:tcPr>
          <w:p>
            <w:r/>
            <w:r>
              <w:t>1.0</w:t>
            </w:r>
          </w:p>
        </w:tc>
        <w:tc>
          <w:tcPr>
            <w:tcW w:type="dxa" w:w="1728"/>
          </w:tcPr>
          <w:p>
            <w:r/>
            <w:r>
              <w:t>2026-06-16</w:t>
            </w:r>
          </w:p>
        </w:tc>
        <w:tc>
          <w:tcPr>
            <w:tcW w:type="dxa" w:w="1728"/>
          </w:tcPr>
          <w:p>
            <w:r/>
            <w:r>
              <w:t>Raja Gopalan</w:t>
            </w:r>
          </w:p>
        </w:tc>
        <w:tc>
          <w:tcPr>
            <w:tcW w:type="dxa" w:w="1728"/>
          </w:tcPr>
          <w:p>
            <w:r/>
            <w:r>
              <w:t>Initial version</w:t>
            </w:r>
          </w:p>
        </w:tc>
        <w:tc>
          <w:tcPr>
            <w:tcW w:type="dxa" w:w="1728"/>
          </w:tcPr>
          <w:p>
            <w:r/>
            <w:r>
              <w:t>Raja Gopalan</w:t>
            </w:r>
          </w:p>
        </w:tc>
      </w:tr>
    </w:tbl>
    <w:p/>
    <w:p>
      <w:pPr>
        <w:pStyle w:val="Heading2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Approved by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Raja Gopalan</w:t>
            </w:r>
          </w:p>
        </w:tc>
        <w:tc>
          <w:tcPr>
            <w:tcW w:type="dxa" w:w="2160"/>
          </w:tcPr>
          <w:p>
            <w:r/>
            <w:r>
              <w:t>Security Officer</w:t>
            </w:r>
          </w:p>
        </w:tc>
        <w:tc>
          <w:tcPr>
            <w:tcW w:type="dxa" w:w="2160"/>
          </w:tcPr>
          <w:p>
            <w:r/>
            <w:r>
              <w:t>2026-06-16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