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&amp; Disposal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§164.316(b)(2); §164.310(d)(2)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 how long ePHI and compliance records are retained and how they are securely disposed of.</w:t>
      </w:r>
    </w:p>
    <w:p>
      <w:pPr>
        <w:pStyle w:val="Heading2"/>
      </w:pPr>
      <w:r>
        <w:t>2. Scope</w:t>
      </w:r>
    </w:p>
    <w:p>
      <w:r>
        <w:t>ePHI (session transcripts/records), audit logs, and compliance documentation.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Clinician-led session records are retained as </w:t>
      </w:r>
      <w:r>
        <w:rPr>
          <w:b/>
        </w:rPr>
        <w:t>clinical records (~6 years)</w:t>
      </w:r>
      <w:r>
        <w:t>.</w:t>
      </w:r>
    </w:p>
    <w:p>
      <w:pPr>
        <w:pStyle w:val="ListNumber"/>
      </w:pPr>
      <w:r>
        <w:t xml:space="preserve">Audit logs and compliance documentation are retained </w:t>
      </w:r>
      <w:r>
        <w:rPr>
          <w:b/>
        </w:rPr>
        <w:t>6 years</w:t>
      </w:r>
      <w:r>
        <w:t>.</w:t>
      </w:r>
    </w:p>
    <w:p>
      <w:pPr>
        <w:pStyle w:val="ListNumber"/>
      </w:pPr>
      <w:r>
        <w:t xml:space="preserve">Data past its retention period is </w:t>
      </w:r>
      <w:r>
        <w:rPr>
          <w:b/>
        </w:rPr>
        <w:t>securely disposed of</w:t>
      </w:r>
      <w:r>
        <w:t>.</w:t>
      </w:r>
    </w:p>
    <w:p>
      <w:pPr>
        <w:pStyle w:val="ListNumber"/>
      </w:pPr>
      <w:r>
        <w:t>Retention is enforced in the application and reviewed.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Retention</w:t>
      </w:r>
    </w:p>
    <w:p>
      <w:pPr>
        <w:pStyle w:val="ListBullet"/>
      </w:pPr>
      <w:r>
        <w:t>Therapist-led session records carry a ~6-year clinical retention (</w:t>
      </w:r>
      <w:r>
        <w:rPr>
          <w:rFonts w:ascii="Consolas" w:hAnsi="Consolas"/>
        </w:rPr>
        <w:t>retention_expires_at</w:t>
      </w:r>
      <w:r>
        <w:t>); audit logs and policies are retained 6 years (§164.316(b)(2)).</w:t>
      </w:r>
    </w:p>
    <w:p>
      <w:pPr>
        <w:pStyle w:val="Heading3"/>
      </w:pPr>
      <w:r>
        <w:t>4.2 Secure disposal — §164.310(d)(2)(i)</w:t>
      </w:r>
    </w:p>
    <w:p>
      <w:pPr>
        <w:pStyle w:val="ListBullet"/>
      </w:pPr>
      <w:r>
        <w:t>At end of retention, ePHI is purged by the application's scheduled purge job; backups age out per GCP backup retention; physical media disposal per TM-SEC-POL-008.</w:t>
      </w:r>
    </w:p>
    <w:p>
      <w:pPr>
        <w:pStyle w:val="Heading3"/>
      </w:pPr>
      <w:r>
        <w:t>4.3 Review</w:t>
      </w:r>
    </w:p>
    <w:p>
      <w:pPr>
        <w:pStyle w:val="ListBullet"/>
      </w:pPr>
      <w:r>
        <w:t>Retention settings are reviewed at least annually.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owns retention schedule; </w:t>
      </w:r>
      <w:r>
        <w:rPr>
          <w:b/>
        </w:rPr>
        <w:t>Cloud/Infra Admin:</w:t>
      </w:r>
      <w:r>
        <w:t xml:space="preserve"> implements purge/disposal.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§164.316(b)(2) Documentation retention (6 years)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  <w:tr>
        <w:tc>
          <w:tcPr>
            <w:tcW w:type="dxa" w:w="4320"/>
          </w:tcPr>
          <w:p>
            <w:r/>
            <w:r>
              <w:t>§164.310(d)(2)(i) Disposal</w:t>
            </w:r>
          </w:p>
        </w:tc>
        <w:tc>
          <w:tcPr>
            <w:tcW w:type="dxa" w:w="4320"/>
          </w:tcPr>
          <w:p>
            <w:r/>
            <w:r>
              <w:t>§4.2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t>TM-SEC-POL-008; TM-SEC-POL-009</w:t>
      </w:r>
    </w:p>
    <w:p>
      <w:pPr>
        <w:pStyle w:val="Heading2"/>
      </w:pPr>
      <w:r>
        <w:t>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