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Privacy &amp; Minimum Necessary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TM-SEC-POL-013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  <w:r>
              <w:t>Security Officer (Raja Gopalan)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t>2026-06-16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/>
            <w:r>
              <w:t>2027-06-16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t>45 CFR §164.502(b); §164.514(d)</w:t>
            </w:r>
          </w:p>
        </w:tc>
      </w:tr>
    </w:tbl>
    <w:p/>
    <w:p>
      <w:pPr>
        <w:pStyle w:val="Heading2"/>
      </w:pPr>
      <w:r>
        <w:t>1. Purpose</w:t>
      </w:r>
    </w:p>
    <w:p>
      <w:r>
        <w:t>Govern permitted uses and disclosures of ePHI and enforce the minimum-necessary principle, consistent with TogetherMindsAI's role as a Business Associate.</w:t>
      </w:r>
    </w:p>
    <w:p>
      <w:pPr>
        <w:pStyle w:val="Heading2"/>
      </w:pPr>
      <w:r>
        <w:t>2. Scope</w:t>
      </w:r>
    </w:p>
    <w:p>
      <w:r>
        <w:t>All ePHI and workforce.</w:t>
      </w:r>
    </w:p>
    <w:p>
      <w:pPr>
        <w:pStyle w:val="Heading2"/>
      </w:pPr>
      <w:r>
        <w:t>3. Policy statements</w:t>
      </w:r>
    </w:p>
    <w:p>
      <w:pPr>
        <w:pStyle w:val="ListNumber"/>
      </w:pPr>
      <w:r>
        <w:t xml:space="preserve">ePHI is used/disclosed </w:t>
      </w:r>
      <w:r>
        <w:rPr>
          <w:b/>
        </w:rPr>
        <w:t>only as permitted by the BAA</w:t>
      </w:r>
      <w:r>
        <w:t xml:space="preserve"> and to perform services for the Covered Entity.</w:t>
      </w:r>
    </w:p>
    <w:p>
      <w:pPr>
        <w:pStyle w:val="ListNumber"/>
      </w:pPr>
      <w:r>
        <w:t xml:space="preserve">Access and use follow the </w:t>
      </w:r>
      <w:r>
        <w:rPr>
          <w:b/>
        </w:rPr>
        <w:t>minimum-necessary</w:t>
      </w:r>
      <w:r>
        <w:t xml:space="preserve"> principle (TM-SEC-POL-004).</w:t>
      </w:r>
    </w:p>
    <w:p>
      <w:pPr>
        <w:pStyle w:val="ListNumber"/>
      </w:pPr>
      <w:r>
        <w:t xml:space="preserve">ePHI is </w:t>
      </w:r>
      <w:r>
        <w:rPr>
          <w:b/>
        </w:rPr>
        <w:t>never sold, used for marketing, or used to train AI models</w:t>
      </w:r>
      <w:r>
        <w:t>.</w:t>
      </w:r>
    </w:p>
    <w:p>
      <w:pPr>
        <w:pStyle w:val="ListNumber"/>
      </w:pPr>
      <w:r>
        <w:t>Disclosures are limited and documented as required.</w:t>
      </w:r>
    </w:p>
    <w:p>
      <w:pPr>
        <w:pStyle w:val="Heading2"/>
      </w:pPr>
      <w:r>
        <w:t>4. Procedures / controls</w:t>
      </w:r>
    </w:p>
    <w:p>
      <w:pPr>
        <w:pStyle w:val="Heading3"/>
      </w:pPr>
      <w:r>
        <w:t>4.1 Permitted use &amp; disclosure — §164.502</w:t>
      </w:r>
    </w:p>
    <w:p>
      <w:pPr>
        <w:pStyle w:val="ListBullet"/>
      </w:pPr>
      <w:r>
        <w:t>Use ePHI only to provide the contracted service (the clinician-led session co-pilot and transcript/record), and only as the BAA permits.</w:t>
      </w:r>
    </w:p>
    <w:p>
      <w:pPr>
        <w:pStyle w:val="Heading3"/>
      </w:pPr>
      <w:r>
        <w:t>4.2 Minimum necessary — §164.514(d)</w:t>
      </w:r>
    </w:p>
    <w:p>
      <w:pPr>
        <w:pStyle w:val="ListBullet"/>
      </w:pPr>
      <w:r>
        <w:t>Limit ePHI access to the minimum necessary per role (TM-SEC-POL-004); the co-pilot receives only the session transcript needed for its suggestions.</w:t>
      </w:r>
    </w:p>
    <w:p>
      <w:pPr>
        <w:pStyle w:val="Heading3"/>
      </w:pPr>
      <w:r>
        <w:t>4.3 Prohibited uses</w:t>
      </w:r>
    </w:p>
    <w:p>
      <w:pPr>
        <w:pStyle w:val="ListBullet"/>
      </w:pPr>
      <w:r>
        <w:t xml:space="preserve">No sale of ePHI, no marketing, and </w:t>
      </w:r>
      <w:r>
        <w:rPr>
          <w:b/>
        </w:rPr>
        <w:t>no use of ePHI to train AI models</w:t>
      </w:r>
      <w:r>
        <w:t>; transcripts sent to the AI vendor are governed by a BAA with zero retention.</w:t>
      </w:r>
    </w:p>
    <w:p>
      <w:pPr>
        <w:pStyle w:val="Heading2"/>
      </w:pPr>
      <w:r>
        <w:t>5. Roles &amp; responsibilities</w:t>
      </w:r>
    </w:p>
    <w:p>
      <w:pPr>
        <w:pStyle w:val="ListBullet"/>
      </w:pPr>
      <w:r>
        <w:rPr>
          <w:b/>
        </w:rPr>
        <w:t>Privacy Officer:</w:t>
      </w:r>
      <w:r>
        <w:t xml:space="preserve"> owns permitted-use rules; </w:t>
      </w:r>
      <w:r>
        <w:rPr>
          <w:b/>
        </w:rPr>
        <w:t>Workforce:</w:t>
      </w:r>
      <w:r>
        <w:t xml:space="preserve"> apply minimum necessary.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§164.502(b) Minimum Necessary (standard)</w:t>
            </w:r>
          </w:p>
        </w:tc>
        <w:tc>
          <w:tcPr>
            <w:tcW w:type="dxa" w:w="4320"/>
          </w:tcPr>
          <w:p>
            <w:r/>
            <w:r>
              <w:t>§3, §4.2</w:t>
            </w:r>
          </w:p>
        </w:tc>
      </w:tr>
      <w:tr>
        <w:tc>
          <w:tcPr>
            <w:tcW w:type="dxa" w:w="4320"/>
          </w:tcPr>
          <w:p>
            <w:r/>
            <w:r>
              <w:t>§164.514(d) Minimum Necessary (requirements)</w:t>
            </w:r>
          </w:p>
        </w:tc>
        <w:tc>
          <w:tcPr>
            <w:tcW w:type="dxa" w:w="4320"/>
          </w:tcPr>
          <w:p>
            <w:r/>
            <w:r>
              <w:t>§4.2</w:t>
            </w:r>
          </w:p>
        </w:tc>
      </w:tr>
      <w:tr>
        <w:tc>
          <w:tcPr>
            <w:tcW w:type="dxa" w:w="4320"/>
          </w:tcPr>
          <w:p>
            <w:r/>
            <w:r>
              <w:t>§164.502(a) Permitted uses/disclosures (BA)</w:t>
            </w:r>
          </w:p>
        </w:tc>
        <w:tc>
          <w:tcPr>
            <w:tcW w:type="dxa" w:w="4320"/>
          </w:tcPr>
          <w:p>
            <w:r/>
            <w:r>
              <w:t>§4.1, §4.3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Violations of this policy are handled per the Workforce Security &amp; Sanction Policy (TM-SEC-POL-003).</w:t>
      </w:r>
    </w:p>
    <w:p>
      <w:pPr>
        <w:pStyle w:val="Heading2"/>
      </w:pPr>
      <w:r>
        <w:t>8. Exceptions</w:t>
      </w:r>
    </w:p>
    <w:p>
      <w:r>
        <w:t>Time-bound exceptions require Security Officer approval with documented justification, compensating controls, and an expiry/review date.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t>TM-SEC-POL-004; TM-SEC-POL-011</w:t>
      </w:r>
    </w:p>
    <w:p>
      <w:pPr>
        <w:pStyle w:val="Heading2"/>
      </w:pPr>
      <w:r>
        <w:t>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/>
            <w:r>
              <w:t>1.0</w:t>
            </w:r>
          </w:p>
        </w:tc>
        <w:tc>
          <w:tcPr>
            <w:tcW w:type="dxa" w:w="1728"/>
          </w:tcPr>
          <w:p>
            <w:r/>
            <w:r>
              <w:t>2026-06-16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  <w:tc>
          <w:tcPr>
            <w:tcW w:type="dxa" w:w="1728"/>
          </w:tcPr>
          <w:p>
            <w:r/>
            <w:r>
              <w:t>Initial version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Raja Gopalan</w:t>
            </w:r>
          </w:p>
        </w:tc>
        <w:tc>
          <w:tcPr>
            <w:tcW w:type="dxa" w:w="2160"/>
          </w:tcPr>
          <w:p>
            <w:r/>
            <w:r>
              <w:t>Security Officer</w:t>
            </w:r>
          </w:p>
        </w:tc>
        <w:tc>
          <w:tcPr>
            <w:tcW w:type="dxa" w:w="2160"/>
          </w:tcPr>
          <w:p>
            <w:r/>
            <w:r>
              <w:t>2026-06-16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