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PayRails — Third-Party Security Audit &amp; Certification Plan</w:t>
      </w:r>
    </w:p>
    <w:p>
      <w:r>
        <w:rPr>
          <w:i/>
        </w:rPr>
        <w:t>B2B &amp; Consumer Real-Time Payments Platform  |  Planning document  |  July 2026</w:t>
      </w:r>
    </w:p>
    <w:p>
      <w:pPr>
        <w:pStyle w:val="Heading1"/>
      </w:pPr>
      <w:r>
        <w:t>1. Purpose &amp; Scope</w:t>
      </w:r>
    </w:p>
    <w:p>
      <w:r>
        <w:t>This plan defines what PayRails needs to obtain independent, third-party validation of the security of the platform, and the sequence for getting there. It targets the certifications expected of a fintech payments platform by enterprise customers, sponsor banks, and regulated partners. Scope covers the FastAPI backend, Flutter clients, and the Google Cloud (Cloud Run / Cloud SQL) production environment.</w:t>
      </w:r>
    </w:p>
    <w:p>
      <w:r>
        <w:t>Note: This is planning guidance, not legal or compliance advice. Engage a qualified security assessor (licensed CPA firm for SOC 2) and, where money movement is involved, fintech legal counsel before committing to scope.</w:t>
      </w:r>
    </w:p>
    <w:p>
      <w:pPr>
        <w:pStyle w:val="Heading1"/>
      </w:pPr>
      <w:r>
        <w:t>2. Target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Certification / Audit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proves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SOC 2 Type II</w:t>
            </w:r>
          </w:p>
        </w:tc>
        <w:tc>
          <w:tcPr>
            <w:tcW w:type="dxa" w:w="2880"/>
          </w:tcPr>
          <w:p>
            <w:r>
              <w:t>Security controls operate effectively over a 3–12 month window</w:t>
            </w:r>
          </w:p>
        </w:tc>
        <w:tc>
          <w:tcPr>
            <w:tcW w:type="dxa" w:w="2880"/>
          </w:tcPr>
          <w:p>
            <w:r>
              <w:t>1 — primary ask from customers &amp; banks</w:t>
            </w:r>
          </w:p>
        </w:tc>
      </w:tr>
      <w:tr>
        <w:tc>
          <w:tcPr>
            <w:tcW w:type="dxa" w:w="2880"/>
          </w:tcPr>
          <w:p>
            <w:r>
              <w:t>Third-party penetration test</w:t>
            </w:r>
          </w:p>
        </w:tc>
        <w:tc>
          <w:tcPr>
            <w:tcW w:type="dxa" w:w="2880"/>
          </w:tcPr>
          <w:p>
            <w:r>
              <w:t>App/API/network resist real-world attack</w:t>
            </w:r>
          </w:p>
        </w:tc>
        <w:tc>
          <w:tcPr>
            <w:tcW w:type="dxa" w:w="2880"/>
          </w:tcPr>
          <w:p>
            <w:r>
              <w:t>1 — do first; cheapest, fastest signal; feeds SOC 2 &amp; PCI</w:t>
            </w:r>
          </w:p>
        </w:tc>
      </w:tr>
      <w:tr>
        <w:tc>
          <w:tcPr>
            <w:tcW w:type="dxa" w:w="2880"/>
          </w:tcPr>
          <w:p>
            <w:r>
              <w:t>PCI-DSS</w:t>
            </w:r>
          </w:p>
        </w:tc>
        <w:tc>
          <w:tcPr>
            <w:tcW w:type="dxa" w:w="2880"/>
          </w:tcPr>
          <w:p>
            <w:r>
              <w:t>Safe handling of cardholder data</w:t>
            </w:r>
          </w:p>
        </w:tc>
        <w:tc>
          <w:tcPr>
            <w:tcW w:type="dxa" w:w="2880"/>
          </w:tcPr>
          <w:p>
            <w:r>
              <w:t>2 — only if we store/process/transmit card PANs</w:t>
            </w:r>
          </w:p>
        </w:tc>
      </w:tr>
      <w:tr>
        <w:tc>
          <w:tcPr>
            <w:tcW w:type="dxa" w:w="2880"/>
          </w:tcPr>
          <w:p>
            <w:r>
              <w:t>ISO 27001</w:t>
            </w:r>
          </w:p>
        </w:tc>
        <w:tc>
          <w:tcPr>
            <w:tcW w:type="dxa" w:w="2880"/>
          </w:tcPr>
          <w:p>
            <w:r>
              <w:t>Formal Information Security Management System (international)</w:t>
            </w:r>
          </w:p>
        </w:tc>
        <w:tc>
          <w:tcPr>
            <w:tcW w:type="dxa" w:w="2880"/>
          </w:tcPr>
          <w:p>
            <w:r>
              <w:t>3 — if selling into enterprise / EU</w:t>
            </w:r>
          </w:p>
        </w:tc>
      </w:tr>
      <w:tr>
        <w:tc>
          <w:tcPr>
            <w:tcW w:type="dxa" w:w="2880"/>
          </w:tcPr>
          <w:p>
            <w:r>
              <w:t>Sponsor-bank due diligence</w:t>
            </w:r>
          </w:p>
        </w:tc>
        <w:tc>
          <w:tcPr>
            <w:tcW w:type="dxa" w:w="2880"/>
          </w:tcPr>
          <w:p>
            <w:r>
              <w:t>Meets the bank partner's vendor-risk requirements</w:t>
            </w:r>
          </w:p>
        </w:tc>
        <w:tc>
          <w:tcPr>
            <w:tcW w:type="dxa" w:w="2880"/>
          </w:tcPr>
          <w:p>
            <w:r>
              <w:t>Gate — required before leaving mock banking</w:t>
            </w:r>
          </w:p>
        </w:tc>
      </w:tr>
    </w:tbl>
    <w:p>
      <w:pPr>
        <w:pStyle w:val="Heading1"/>
      </w:pPr>
      <w:r>
        <w:t>3. Recommended Sequence</w:t>
      </w:r>
    </w:p>
    <w:p>
      <w:pPr>
        <w:pStyle w:val="ListNumber"/>
      </w:pPr>
      <w:r>
        <w:t>Third-party penetration test (standalone value now; also a SOC 2 / PCI input).</w:t>
      </w:r>
    </w:p>
    <w:p>
      <w:pPr>
        <w:pStyle w:val="ListNumber"/>
      </w:pPr>
      <w:r>
        <w:t>SOC 2 Type I (point-in-time) as an interim proof — issuable in ~6–8 weeks.</w:t>
      </w:r>
    </w:p>
    <w:p>
      <w:pPr>
        <w:pStyle w:val="ListNumber"/>
      </w:pPr>
      <w:r>
        <w:t>SOC 2 Type II over a 3-month observation window (extend to 6–12 as customers require).</w:t>
      </w:r>
    </w:p>
    <w:p>
      <w:pPr>
        <w:pStyle w:val="ListNumber"/>
      </w:pPr>
      <w:r>
        <w:t>PCI-DSS only if card-data scope is confirmed (otherwise tokenize via processor to stay out of scope).</w:t>
      </w:r>
    </w:p>
    <w:p>
      <w:pPr>
        <w:pStyle w:val="ListNumber"/>
      </w:pPr>
      <w:r>
        <w:t>ISO 27001 if/when enterprise or EU demand appears.</w:t>
      </w:r>
    </w:p>
    <w:p>
      <w:pPr>
        <w:pStyle w:val="Heading1"/>
      </w:pPr>
      <w:r>
        <w:t>4. Current State — Strengths (leverage these)</w:t>
      </w:r>
    </w:p>
    <w:p>
      <w:pPr>
        <w:pStyle w:val="ListBullet"/>
      </w:pPr>
      <w:r>
        <w:t>Secrets stored in Google Secret Manager; TLS in transit; Cloud SQL encryption at rest.</w:t>
      </w:r>
    </w:p>
    <w:p>
      <w:pPr>
        <w:pStyle w:val="ListBullet"/>
      </w:pPr>
      <w:r>
        <w:t>Sensitive bank account numbers encrypted at rest (Fernet); only last 4 digits returned in APIs.</w:t>
      </w:r>
    </w:p>
    <w:p>
      <w:pPr>
        <w:pStyle w:val="ListBullet"/>
      </w:pPr>
      <w:r>
        <w:t>Audit trail already captured in the event_logs table (event type, source, payload, reference).</w:t>
      </w:r>
    </w:p>
    <w:p>
      <w:pPr>
        <w:pStyle w:val="ListBullet"/>
      </w:pPr>
      <w:r>
        <w:t>CI pipeline (GitHub Actions) — supports change-management and secure-SDLC evidence.</w:t>
      </w:r>
    </w:p>
    <w:p>
      <w:pPr>
        <w:pStyle w:val="ListBullet"/>
      </w:pPr>
      <w:r>
        <w:t>Disaster Recovery &amp; environment-restore runbook — supports the Availability criterion.</w:t>
      </w:r>
    </w:p>
    <w:p>
      <w:pPr>
        <w:pStyle w:val="ListBullet"/>
      </w:pPr>
      <w:r>
        <w:t>Alembic migrations as the single source of schema truth (controlled change management).</w:t>
      </w:r>
    </w:p>
    <w:p>
      <w:pPr>
        <w:pStyle w:val="Heading1"/>
      </w:pPr>
      <w:r>
        <w:t>5. Gap Analysis (to close before/for 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2880"/>
          </w:tcPr>
          <w:p>
            <w:r>
              <w:t>Identity &amp; access</w:t>
            </w:r>
          </w:p>
        </w:tc>
        <w:tc>
          <w:tcPr>
            <w:tcW w:type="dxa" w:w="2880"/>
          </w:tcPr>
          <w:p>
            <w:r>
              <w:t>No MFA; role-only RBAC; no lockout/password policy; no session revocation</w:t>
            </w:r>
          </w:p>
        </w:tc>
        <w:tc>
          <w:tcPr>
            <w:tcW w:type="dxa" w:w="2880"/>
          </w:tcPr>
          <w:p>
            <w:r>
              <w:t>Enforce MFA; fine-grained RBAC; account lockout, password policy, token/session revocation</w:t>
            </w:r>
          </w:p>
        </w:tc>
      </w:tr>
      <w:tr>
        <w:tc>
          <w:tcPr>
            <w:tcW w:type="dxa" w:w="2880"/>
          </w:tcPr>
          <w:p>
            <w:r>
              <w:t>Abuse prevention</w:t>
            </w:r>
          </w:p>
        </w:tc>
        <w:tc>
          <w:tcPr>
            <w:tcW w:type="dxa" w:w="2880"/>
          </w:tcPr>
          <w:p>
            <w:r>
              <w:t>No API rate limiting / throttling</w:t>
            </w:r>
          </w:p>
        </w:tc>
        <w:tc>
          <w:tcPr>
            <w:tcW w:type="dxa" w:w="2880"/>
          </w:tcPr>
          <w:p>
            <w:r>
              <w:t>Rate limiting and anti-automation on all public and authenticated endpoints</w:t>
            </w:r>
          </w:p>
        </w:tc>
      </w:tr>
      <w:tr>
        <w:tc>
          <w:tcPr>
            <w:tcW w:type="dxa" w:w="2880"/>
          </w:tcPr>
          <w:p>
            <w:r>
              <w:t>Secrets &amp; crypto</w:t>
            </w:r>
          </w:p>
        </w:tc>
        <w:tc>
          <w:tcPr>
            <w:tcW w:type="dxa" w:w="2880"/>
          </w:tcPr>
          <w:p>
            <w:r>
              <w:t>Insecure defaults (JWT_SECRET=changeme, empty ENCRYPTION_KEY); static Fernet key</w:t>
            </w:r>
          </w:p>
        </w:tc>
        <w:tc>
          <w:tcPr>
            <w:tcW w:type="dxa" w:w="2880"/>
          </w:tcPr>
          <w:p>
            <w:r>
              <w:t>Prove prod overrides; move to Cloud KMS-managed keys with documented rotation</w:t>
            </w:r>
          </w:p>
        </w:tc>
      </w:tr>
      <w:tr>
        <w:tc>
          <w:tcPr>
            <w:tcW w:type="dxa" w:w="2880"/>
          </w:tcPr>
          <w:p>
            <w:r>
              <w:t>Logging &amp; monitoring</w:t>
            </w:r>
          </w:p>
        </w:tc>
        <w:tc>
          <w:tcPr>
            <w:tcW w:type="dxa" w:w="2880"/>
          </w:tcPr>
          <w:p>
            <w:r>
              <w:t>event_logs exists but no centralized, tamper-evident logging or alerting</w:t>
            </w:r>
          </w:p>
        </w:tc>
        <w:tc>
          <w:tcPr>
            <w:tcW w:type="dxa" w:w="2880"/>
          </w:tcPr>
          <w:p>
            <w:r>
              <w:t>Central log aggregation (Cloud Logging), tamper-evidence, retention policy, SIEM-style alerting</w:t>
            </w:r>
          </w:p>
        </w:tc>
      </w:tr>
      <w:tr>
        <w:tc>
          <w:tcPr>
            <w:tcW w:type="dxa" w:w="2880"/>
          </w:tcPr>
          <w:p>
            <w:r>
              <w:t>App/API security</w:t>
            </w:r>
          </w:p>
        </w:tc>
        <w:tc>
          <w:tcPr>
            <w:tcW w:type="dxa" w:w="2880"/>
          </w:tcPr>
          <w:p>
            <w:r>
              <w:t>Webhook signatures unverified; CORS broad in dev</w:t>
            </w:r>
          </w:p>
        </w:tc>
        <w:tc>
          <w:tcPr>
            <w:tcW w:type="dxa" w:w="2880"/>
          </w:tcPr>
          <w:p>
            <w:r>
              <w:t>Verify inbound webhook signatures; tighten CORS; input validation review</w:t>
            </w:r>
          </w:p>
        </w:tc>
      </w:tr>
      <w:tr>
        <w:tc>
          <w:tcPr>
            <w:tcW w:type="dxa" w:w="2880"/>
          </w:tcPr>
          <w:p>
            <w:r>
              <w:t>Vulnerability mgmt</w:t>
            </w:r>
          </w:p>
        </w:tc>
        <w:tc>
          <w:tcPr>
            <w:tcW w:type="dxa" w:w="2880"/>
          </w:tcPr>
          <w:p>
            <w:r>
              <w:t>Dependencies unpinned; no dependency/image scanning</w:t>
            </w:r>
          </w:p>
        </w:tc>
        <w:tc>
          <w:tcPr>
            <w:tcW w:type="dxa" w:w="2880"/>
          </w:tcPr>
          <w:p>
            <w:r>
              <w:t>Pin dependencies; Dependabot / pip-audit; container image scanning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Policies and formal procedures not yet documented</w:t>
            </w:r>
          </w:p>
        </w:tc>
        <w:tc>
          <w:tcPr>
            <w:tcW w:type="dxa" w:w="2880"/>
          </w:tcPr>
          <w:p>
            <w:r>
              <w:t>~20–40 policies: access control, change mgmt, incident response, BCP/DR, data classification &amp; retention, vendor mgmt, secure SDLC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No documented onboarding/offboarding, least-privilege, background checks</w:t>
            </w:r>
          </w:p>
        </w:tc>
        <w:tc>
          <w:tcPr>
            <w:tcW w:type="dxa" w:w="2880"/>
          </w:tcPr>
          <w:p>
            <w:r>
              <w:t>Access reviews, least-privilege grants, background checks, HR security procedures</w:t>
            </w:r>
          </w:p>
        </w:tc>
      </w:tr>
    </w:tbl>
    <w:p>
      <w:pPr>
        <w:pStyle w:val="Heading1"/>
      </w:pPr>
      <w:r>
        <w:t>6. SOC 2 Roadmap</w:t>
      </w:r>
    </w:p>
    <w:p>
      <w:pPr>
        <w:pStyle w:val="ListNumber"/>
      </w:pPr>
      <w:r>
        <w:t>Readiness / gap assessment (vCISO or the audit firm).</w:t>
      </w:r>
    </w:p>
    <w:p>
      <w:pPr>
        <w:pStyle w:val="ListNumber"/>
      </w:pPr>
      <w:r>
        <w:t>Select Trust Services Criteria — Security (required) + Availability + Confidentiality.</w:t>
      </w:r>
    </w:p>
    <w:p>
      <w:pPr>
        <w:pStyle w:val="ListNumber"/>
      </w:pPr>
      <w:r>
        <w:t>Adopt a compliance-automation platform (Vanta, Drata, or Secureframe) to auto-collect evidence from GCP and GitHub.</w:t>
      </w:r>
    </w:p>
    <w:p>
      <w:pPr>
        <w:pStyle w:val="ListNumber"/>
      </w:pPr>
      <w:r>
        <w:t>Remediate gaps from Section 5; write and approve policies.</w:t>
      </w:r>
    </w:p>
    <w:p>
      <w:pPr>
        <w:pStyle w:val="ListNumber"/>
      </w:pPr>
      <w:r>
        <w:t>Run the third-party penetration test; remediate findings.</w:t>
      </w:r>
    </w:p>
    <w:p>
      <w:pPr>
        <w:pStyle w:val="ListNumber"/>
      </w:pPr>
      <w:r>
        <w:t>Observe controls over the Type II window (start at 3 months).</w:t>
      </w:r>
    </w:p>
    <w:p>
      <w:pPr>
        <w:pStyle w:val="ListNumber"/>
      </w:pPr>
      <w:r>
        <w:t>Licensed CPA firm performs the audit and issues the report.</w:t>
      </w:r>
    </w:p>
    <w:p>
      <w:pPr>
        <w:pStyle w:val="Heading1"/>
      </w:pPr>
      <w:r>
        <w:t>7. Penetration Testing</w:t>
      </w:r>
    </w:p>
    <w:p>
      <w:pPr>
        <w:pStyle w:val="ListBullet"/>
      </w:pPr>
      <w:r>
        <w:t>Scope: external network, web/API application, authenticated and unauthenticated paths, mobile clients.</w:t>
      </w:r>
    </w:p>
    <w:p>
      <w:pPr>
        <w:pStyle w:val="ListBullet"/>
      </w:pPr>
      <w:r>
        <w:t>Cadence: at least annually and after significant changes (bank integration, stablecoin, major releases).</w:t>
      </w:r>
    </w:p>
    <w:p>
      <w:pPr>
        <w:pStyle w:val="ListBullet"/>
      </w:pPr>
      <w:r>
        <w:t>Deliverable: report + remediation evidence, reusable for SOC 2 and sponsor-bank diligence.</w:t>
      </w:r>
    </w:p>
    <w:p>
      <w:pPr>
        <w:pStyle w:val="Heading1"/>
      </w:pPr>
      <w:r>
        <w:t>8. PCI-DSS Applicability</w:t>
      </w:r>
    </w:p>
    <w:p>
      <w:r>
        <w:t>PCI-DSS applies only if PayRails stores, processes, or transmits cardholder data (PANs) on the Card rail. If card acceptance is delegated to a PCI-compliant processor and only tokens are handled, scope reduces to a short self-assessment questionnaire (SAQ A / A-EP). Decision required before the Card rail goes live.</w:t>
      </w:r>
    </w:p>
    <w:p>
      <w:pPr>
        <w:pStyle w:val="Heading1"/>
      </w:pPr>
      <w:r>
        <w:t>9. Tooling &amp; Vendors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Options</w:t>
            </w:r>
          </w:p>
        </w:tc>
      </w:tr>
      <w:tr>
        <w:tc>
          <w:tcPr>
            <w:tcW w:type="dxa" w:w="4320"/>
          </w:tcPr>
          <w:p>
            <w:r>
              <w:t>Compliance automation</w:t>
            </w:r>
          </w:p>
        </w:tc>
        <w:tc>
          <w:tcPr>
            <w:tcW w:type="dxa" w:w="4320"/>
          </w:tcPr>
          <w:p>
            <w:r>
              <w:t>Vanta, Drata, Secureframe</w:t>
            </w:r>
          </w:p>
        </w:tc>
      </w:tr>
      <w:tr>
        <w:tc>
          <w:tcPr>
            <w:tcW w:type="dxa" w:w="4320"/>
          </w:tcPr>
          <w:p>
            <w:r>
              <w:t>Penetration testing</w:t>
            </w:r>
          </w:p>
        </w:tc>
        <w:tc>
          <w:tcPr>
            <w:tcW w:type="dxa" w:w="4320"/>
          </w:tcPr>
          <w:p>
            <w:r>
              <w:t>Independent CREST/OSCP-credentialed firm (selection TBD)</w:t>
            </w:r>
          </w:p>
        </w:tc>
      </w:tr>
      <w:tr>
        <w:tc>
          <w:tcPr>
            <w:tcW w:type="dxa" w:w="4320"/>
          </w:tcPr>
          <w:p>
            <w:r>
              <w:t>SOC 2 audit</w:t>
            </w:r>
          </w:p>
        </w:tc>
        <w:tc>
          <w:tcPr>
            <w:tcW w:type="dxa" w:w="4320"/>
          </w:tcPr>
          <w:p>
            <w:r>
              <w:t>Licensed CPA / AICPA-accredited assessor</w:t>
            </w:r>
          </w:p>
        </w:tc>
      </w:tr>
      <w:tr>
        <w:tc>
          <w:tcPr>
            <w:tcW w:type="dxa" w:w="4320"/>
          </w:tcPr>
          <w:p>
            <w:r>
              <w:t>Cloud security</w:t>
            </w:r>
          </w:p>
        </w:tc>
        <w:tc>
          <w:tcPr>
            <w:tcW w:type="dxa" w:w="4320"/>
          </w:tcPr>
          <w:p>
            <w:r>
              <w:t>GCP Security Command Center, Cloud KMS, Cloud Logging/Monitoring</w:t>
            </w:r>
          </w:p>
        </w:tc>
      </w:tr>
      <w:tr>
        <w:tc>
          <w:tcPr>
            <w:tcW w:type="dxa" w:w="4320"/>
          </w:tcPr>
          <w:p>
            <w:r>
              <w:t>Dependency/image scanning</w:t>
            </w:r>
          </w:p>
        </w:tc>
        <w:tc>
          <w:tcPr>
            <w:tcW w:type="dxa" w:w="4320"/>
          </w:tcPr>
          <w:p>
            <w:r>
              <w:t>Dependabot, pip-audit, Trivy / Artifact Registry scanning</w:t>
            </w:r>
          </w:p>
        </w:tc>
      </w:tr>
    </w:tbl>
    <w:p>
      <w:pPr>
        <w:pStyle w:val="Heading1"/>
      </w:pPr>
      <w:r>
        <w:t>10. Indicative Timeline &amp; Cost</w:t>
      </w:r>
    </w:p>
    <w:p>
      <w:pPr>
        <w:pStyle w:val="ListBullet"/>
      </w:pPr>
      <w:r>
        <w:t>Timeline: 3–9 months to first SOC 2 Type II report (Type I interim in ~6–8 weeks).</w:t>
      </w:r>
    </w:p>
    <w:p>
      <w:pPr>
        <w:pStyle w:val="ListBullet"/>
      </w:pPr>
      <w:r>
        <w:t>Cost envelope: ~$30k–$100k+ all-in (automation tooling + penetration test + CPA audit); higher with a vCISO.</w:t>
      </w:r>
    </w:p>
    <w:p>
      <w:pPr>
        <w:pStyle w:val="Heading1"/>
      </w:pPr>
      <w:r>
        <w:t>11. Owners &amp; Next Actions</w:t>
      </w:r>
    </w:p>
    <w:p>
      <w:pPr>
        <w:pStyle w:val="ListBullet"/>
      </w:pPr>
      <w:r>
        <w:t>Assign an accountable security owner (interim vCISO acceptable).</w:t>
      </w:r>
    </w:p>
    <w:p>
      <w:pPr>
        <w:pStyle w:val="ListBullet"/>
      </w:pPr>
      <w:r>
        <w:t>Engage a penetration-testing firm and a SOC 2 auditor; select an automation platform.</w:t>
      </w:r>
    </w:p>
    <w:p>
      <w:pPr>
        <w:pStyle w:val="ListBullet"/>
      </w:pPr>
      <w:r>
        <w:t>Close the top Section 5 gaps (MFA, rate limiting, KMS key rotation, log centralization, dependency pinning).</w:t>
      </w:r>
    </w:p>
    <w:p>
      <w:pPr>
        <w:pStyle w:val="ListBullet"/>
      </w:pPr>
      <w:r>
        <w:t>Confirm Card-rail data flow to settle PCI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