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PayRails — Stablecoin Support Plan (USDC, USD1, PYUSD)</w:t>
      </w:r>
    </w:p>
    <w:p>
      <w:r>
        <w:rPr>
          <w:i/>
        </w:rPr>
        <w:t>Regulated-partner model  |  Planning document  |  July 2026</w:t>
      </w:r>
    </w:p>
    <w:p>
      <w:pPr>
        <w:pStyle w:val="Heading1"/>
      </w:pPr>
      <w:r>
        <w:t>1. Purpose &amp; Strategy</w:t>
      </w:r>
    </w:p>
    <w:p>
      <w:r>
        <w:t>This plan describes what PayRails needs to support US-dollar stablecoins — USDC, USD1, and PYUSD — using a regulated partner rather than acquiring money-transmitter licenses and building custody in-house. In this model PayRails is the technology and user-experience layer; a licensed partner holds the licenses and provides KYC/AML, custody, on/off-ramp, and settlement. This turns a multi-year regulated build into an integration and shrinks the audit surface.</w:t>
      </w:r>
    </w:p>
    <w:p>
      <w:r>
        <w:t>Note: Planning guidance, not legal advice. Engage fintech/crypto legal counsel and a BSA/AML compliance officer before build. Confirm each coin is a compliant 'permitted payment stablecoin' under the 2025 GENIUS Act before enabling it.</w:t>
      </w:r>
    </w:p>
    <w:p>
      <w:pPr>
        <w:pStyle w:val="Heading1"/>
      </w:pPr>
      <w:r>
        <w:t>2. Coins in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Issuer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Custody / backing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Chains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Maturity for us</w:t>
            </w:r>
          </w:p>
        </w:tc>
      </w:tr>
      <w:tr>
        <w:tc>
          <w:tcPr>
            <w:tcW w:type="dxa" w:w="1728"/>
          </w:tcPr>
          <w:p>
            <w:r>
              <w:t>USDC</w:t>
            </w:r>
          </w:p>
        </w:tc>
        <w:tc>
          <w:tcPr>
            <w:tcW w:type="dxa" w:w="1728"/>
          </w:tcPr>
          <w:p>
            <w:r>
              <w:t>Circle</w:t>
            </w:r>
          </w:p>
        </w:tc>
        <w:tc>
          <w:tcPr>
            <w:tcW w:type="dxa" w:w="1728"/>
          </w:tcPr>
          <w:p>
            <w:r>
              <w:t>Attested reserves; MiCA-compliant (EU)</w:t>
            </w:r>
          </w:p>
        </w:tc>
        <w:tc>
          <w:tcPr>
            <w:tcW w:type="dxa" w:w="1728"/>
          </w:tcPr>
          <w:p>
            <w:r>
              <w:t>Ethereum, Solana, Base, others</w:t>
            </w:r>
          </w:p>
        </w:tc>
        <w:tc>
          <w:tcPr>
            <w:tcW w:type="dxa" w:w="1728"/>
          </w:tcPr>
          <w:p>
            <w:r>
              <w:t>Highest — start here</w:t>
            </w:r>
          </w:p>
        </w:tc>
      </w:tr>
      <w:tr>
        <w:tc>
          <w:tcPr>
            <w:tcW w:type="dxa" w:w="1728"/>
          </w:tcPr>
          <w:p>
            <w:r>
              <w:t>PYUSD</w:t>
            </w:r>
          </w:p>
        </w:tc>
        <w:tc>
          <w:tcPr>
            <w:tcW w:type="dxa" w:w="1728"/>
          </w:tcPr>
          <w:p>
            <w:r>
              <w:t>Paxos Trust (NYDFS-regulated)</w:t>
            </w:r>
          </w:p>
        </w:tc>
        <w:tc>
          <w:tcPr>
            <w:tcW w:type="dxa" w:w="1728"/>
          </w:tcPr>
          <w:p>
            <w:r>
              <w:t>Regulated trust; attested reserves</w:t>
            </w:r>
          </w:p>
        </w:tc>
        <w:tc>
          <w:tcPr>
            <w:tcW w:type="dxa" w:w="1728"/>
          </w:tcPr>
          <w:p>
            <w:r>
              <w:t>Ethereum, Solana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USD1</w:t>
            </w:r>
          </w:p>
        </w:tc>
        <w:tc>
          <w:tcPr>
            <w:tcW w:type="dxa" w:w="1728"/>
          </w:tcPr>
          <w:p>
            <w:r>
              <w:t>World Liberty Financial (WLFI)</w:t>
            </w:r>
          </w:p>
        </w:tc>
        <w:tc>
          <w:tcPr>
            <w:tcW w:type="dxa" w:w="1728"/>
          </w:tcPr>
          <w:p>
            <w:r>
              <w:t>BitGo Trust Co. (SD charter); monthly AICPA attestations; T-bills/MMFs</w:t>
            </w:r>
          </w:p>
        </w:tc>
        <w:tc>
          <w:tcPr>
            <w:tcW w:type="dxa" w:w="1728"/>
          </w:tcPr>
          <w:p>
            <w:r>
              <w:t>Ethereum, BNB Chain</w:t>
            </w:r>
          </w:p>
        </w:tc>
        <w:tc>
          <w:tcPr>
            <w:tcW w:type="dxa" w:w="1728"/>
          </w:tcPr>
          <w:p>
            <w:r>
              <w:t>Newer — diligence-gated; add last</w:t>
            </w:r>
          </w:p>
        </w:tc>
      </w:tr>
    </w:tbl>
    <w:p>
      <w:pPr>
        <w:pStyle w:val="Heading1"/>
      </w:pPr>
      <w:r>
        <w:t>3. Regulated-Partner Model — Split of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Partner provides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PayRails builds</w:t>
            </w:r>
          </w:p>
        </w:tc>
      </w:tr>
      <w:tr>
        <w:tc>
          <w:tcPr>
            <w:tcW w:type="dxa" w:w="4320"/>
          </w:tcPr>
          <w:p>
            <w:r>
              <w:t>Money-transmitter licenses (operate under partner)</w:t>
            </w:r>
          </w:p>
        </w:tc>
        <w:tc>
          <w:tcPr>
            <w:tcW w:type="dxa" w:w="4320"/>
          </w:tcPr>
          <w:p>
            <w:r>
              <w:t>Product UX and payment flows</w:t>
            </w:r>
          </w:p>
        </w:tc>
      </w:tr>
      <w:tr>
        <w:tc>
          <w:tcPr>
            <w:tcW w:type="dxa" w:w="4320"/>
          </w:tcPr>
          <w:p>
            <w:r>
              <w:t>KYC/CIP and AML/sanctions screening</w:t>
            </w:r>
          </w:p>
        </w:tc>
        <w:tc>
          <w:tcPr>
            <w:tcW w:type="dxa" w:w="4320"/>
          </w:tcPr>
          <w:p>
            <w:r>
              <w:t>Multi-asset ledger and balances</w:t>
            </w:r>
          </w:p>
        </w:tc>
      </w:tr>
      <w:tr>
        <w:tc>
          <w:tcPr>
            <w:tcW w:type="dxa" w:w="4320"/>
          </w:tcPr>
          <w:p>
            <w:r>
              <w:t>Custody of customer stablecoins/fiat</w:t>
            </w:r>
          </w:p>
        </w:tc>
        <w:tc>
          <w:tcPr>
            <w:tcW w:type="dxa" w:w="4320"/>
          </w:tcPr>
          <w:p>
            <w:r>
              <w:t>On-chain settlement state tracking</w:t>
            </w:r>
          </w:p>
        </w:tc>
      </w:tr>
      <w:tr>
        <w:tc>
          <w:tcPr>
            <w:tcW w:type="dxa" w:w="4320"/>
          </w:tcPr>
          <w:p>
            <w:r>
              <w:t>On/off-ramp (USD &lt;-&gt; stablecoin)</w:t>
            </w:r>
          </w:p>
        </w:tc>
        <w:tc>
          <w:tcPr>
            <w:tcW w:type="dxa" w:w="4320"/>
          </w:tcPr>
          <w:p>
            <w:r>
              <w:t>Reconciliation (on-chain vs internal ledger)</w:t>
            </w:r>
          </w:p>
        </w:tc>
      </w:tr>
      <w:tr>
        <w:tc>
          <w:tcPr>
            <w:tcW w:type="dxa" w:w="4320"/>
          </w:tcPr>
          <w:p>
            <w:r>
              <w:t>Travel Rule messaging</w:t>
            </w:r>
          </w:p>
        </w:tc>
        <w:tc>
          <w:tcPr>
            <w:tcW w:type="dxa" w:w="4320"/>
          </w:tcPr>
          <w:p>
            <w:r>
              <w:t>Reporting/exports feeding partner + regulators</w:t>
            </w:r>
          </w:p>
        </w:tc>
      </w:tr>
      <w:tr>
        <w:tc>
          <w:tcPr>
            <w:tcW w:type="dxa" w:w="4320"/>
          </w:tcPr>
          <w:p>
            <w:r>
              <w:t>Cross-chain settlement &amp; liquidity</w:t>
            </w:r>
          </w:p>
        </w:tc>
        <w:tc>
          <w:tcPr>
            <w:tcW w:type="dxa" w:w="4320"/>
          </w:tcPr>
          <w:p>
            <w:r>
              <w:t>Consumer disclosures and receipts</w:t>
            </w:r>
          </w:p>
        </w:tc>
      </w:tr>
    </w:tbl>
    <w:p>
      <w:pPr>
        <w:pStyle w:val="Heading1"/>
      </w:pPr>
      <w:r>
        <w:t>4. Candidate Regulated Partners (multi-coin)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Partner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Zero Hash</w:t>
            </w:r>
          </w:p>
        </w:tc>
        <w:tc>
          <w:tcPr>
            <w:tcW w:type="dxa" w:w="2880"/>
          </w:tcPr>
          <w:p>
            <w:r>
              <w:t>Regulated orchestrator (licenses, KYC/AML, custody, settlement)</w:t>
            </w:r>
          </w:p>
        </w:tc>
        <w:tc>
          <w:tcPr>
            <w:tcW w:type="dxa" w:w="2880"/>
          </w:tcPr>
          <w:p>
            <w:r>
              <w:t>Single integration across many coins/chains; supports USD1, USDC, PYUSD</w:t>
            </w:r>
          </w:p>
        </w:tc>
      </w:tr>
      <w:tr>
        <w:tc>
          <w:tcPr>
            <w:tcW w:type="dxa" w:w="2880"/>
          </w:tcPr>
          <w:p>
            <w:r>
              <w:t>Bridge (Stripe)</w:t>
            </w:r>
          </w:p>
        </w:tc>
        <w:tc>
          <w:tcPr>
            <w:tcW w:type="dxa" w:w="2880"/>
          </w:tcPr>
          <w:p>
            <w:r>
              <w:t>Stablecoin orchestration / issuance &amp; payments API</w:t>
            </w:r>
          </w:p>
        </w:tc>
        <w:tc>
          <w:tcPr>
            <w:tcW w:type="dxa" w:w="2880"/>
          </w:tcPr>
          <w:p>
            <w:r>
              <w:t>Strong developer API; broad stablecoin coverage</w:t>
            </w:r>
          </w:p>
        </w:tc>
      </w:tr>
      <w:tr>
        <w:tc>
          <w:tcPr>
            <w:tcW w:type="dxa" w:w="2880"/>
          </w:tcPr>
          <w:p>
            <w:r>
              <w:t>Circle</w:t>
            </w:r>
          </w:p>
        </w:tc>
        <w:tc>
          <w:tcPr>
            <w:tcW w:type="dxa" w:w="2880"/>
          </w:tcPr>
          <w:p>
            <w:r>
              <w:t>USDC issuer; Mint / Payments / Programmable Wallets</w:t>
            </w:r>
          </w:p>
        </w:tc>
        <w:tc>
          <w:tcPr>
            <w:tcW w:type="dxa" w:w="2880"/>
          </w:tcPr>
          <w:p>
            <w:r>
              <w:t>Best path specifically for USDC</w:t>
            </w:r>
          </w:p>
        </w:tc>
      </w:tr>
      <w:tr>
        <w:tc>
          <w:tcPr>
            <w:tcW w:type="dxa" w:w="2880"/>
          </w:tcPr>
          <w:p>
            <w:r>
              <w:t>Paxos</w:t>
            </w:r>
          </w:p>
        </w:tc>
        <w:tc>
          <w:tcPr>
            <w:tcW w:type="dxa" w:w="2880"/>
          </w:tcPr>
          <w:p>
            <w:r>
              <w:t>Issuer/infra (issues PYUSD)</w:t>
            </w:r>
          </w:p>
        </w:tc>
        <w:tc>
          <w:tcPr>
            <w:tcW w:type="dxa" w:w="2880"/>
          </w:tcPr>
          <w:p>
            <w:r>
              <w:t>Best path specifically for PYUSD</w:t>
            </w:r>
          </w:p>
        </w:tc>
      </w:tr>
      <w:tr>
        <w:tc>
          <w:tcPr>
            <w:tcW w:type="dxa" w:w="2880"/>
          </w:tcPr>
          <w:p>
            <w:r>
              <w:t>BitGo</w:t>
            </w:r>
          </w:p>
        </w:tc>
        <w:tc>
          <w:tcPr>
            <w:tcW w:type="dxa" w:w="2880"/>
          </w:tcPr>
          <w:p>
            <w:r>
              <w:t>Qualified custody + Stablecoin-as-a-Service</w:t>
            </w:r>
          </w:p>
        </w:tc>
        <w:tc>
          <w:tcPr>
            <w:tcW w:type="dxa" w:w="2880"/>
          </w:tcPr>
          <w:p>
            <w:r>
              <w:t>Custodian/infrastructure for USD1; regulated trust</w:t>
            </w:r>
          </w:p>
        </w:tc>
      </w:tr>
      <w:tr>
        <w:tc>
          <w:tcPr>
            <w:tcW w:type="dxa" w:w="2880"/>
          </w:tcPr>
          <w:p>
            <w:r>
              <w:t>Fireblocks</w:t>
            </w:r>
          </w:p>
        </w:tc>
        <w:tc>
          <w:tcPr>
            <w:tcW w:type="dxa" w:w="2880"/>
          </w:tcPr>
          <w:p>
            <w:r>
              <w:t>Custody + Fireblocks Network settlement</w:t>
            </w:r>
          </w:p>
        </w:tc>
        <w:tc>
          <w:tcPr>
            <w:tcW w:type="dxa" w:w="2880"/>
          </w:tcPr>
          <w:p>
            <w:r>
              <w:t>Wallet/custody infrastructure across coins incl. USD1</w:t>
            </w:r>
          </w:p>
        </w:tc>
      </w:tr>
    </w:tbl>
    <w:p>
      <w:pPr>
        <w:pStyle w:val="Heading1"/>
      </w:pPr>
      <w:r>
        <w:t>5. USD1-Specific Partners</w:t>
      </w:r>
    </w:p>
    <w:p>
      <w:r>
        <w:t>USD1 is issued by World Liberty Financial and custodied by BitGo Trust Company. For a regulated-partner integration of USD1, the realistic options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Partner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 for USD1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Zero Hash</w:t>
            </w:r>
          </w:p>
        </w:tc>
        <w:tc>
          <w:tcPr>
            <w:tcW w:type="dxa" w:w="2880"/>
          </w:tcPr>
          <w:p>
            <w:r>
              <w:t>Regulated orchestrator</w:t>
            </w:r>
          </w:p>
        </w:tc>
        <w:tc>
          <w:tcPr>
            <w:tcW w:type="dxa" w:w="2880"/>
          </w:tcPr>
          <w:p>
            <w:r>
              <w:t>Integrated USD1 + WLFI (July 2026); single regulated integration incl. KYC/AML, custody, settlement — best fit for a fintech platform</w:t>
            </w:r>
          </w:p>
        </w:tc>
      </w:tr>
      <w:tr>
        <w:tc>
          <w:tcPr>
            <w:tcW w:type="dxa" w:w="2880"/>
          </w:tcPr>
          <w:p>
            <w:r>
              <w:t>BitGo (Trust Company)</w:t>
            </w:r>
          </w:p>
        </w:tc>
        <w:tc>
          <w:tcPr>
            <w:tcW w:type="dxa" w:w="2880"/>
          </w:tcPr>
          <w:p>
            <w:r>
              <w:t>Custodian &amp; issuance/reserve infrastructure</w:t>
            </w:r>
          </w:p>
        </w:tc>
        <w:tc>
          <w:tcPr>
            <w:tcW w:type="dxa" w:w="2880"/>
          </w:tcPr>
          <w:p>
            <w:r>
              <w:t>The custodian of USD1 reserves (South Dakota trust charter); Stablecoin-as-a-Service; primary infrastructure partner</w:t>
            </w:r>
          </w:p>
        </w:tc>
      </w:tr>
      <w:tr>
        <w:tc>
          <w:tcPr>
            <w:tcW w:type="dxa" w:w="2880"/>
          </w:tcPr>
          <w:p>
            <w:r>
              <w:t>Fireblocks</w:t>
            </w:r>
          </w:p>
        </w:tc>
        <w:tc>
          <w:tcPr>
            <w:tcW w:type="dxa" w:w="2880"/>
          </w:tcPr>
          <w:p>
            <w:r>
              <w:t>Custody &amp; network settlement</w:t>
            </w:r>
          </w:p>
        </w:tc>
        <w:tc>
          <w:tcPr>
            <w:tcW w:type="dxa" w:w="2880"/>
          </w:tcPr>
          <w:p>
            <w:r>
              <w:t>Supports USD1 for institutional custody/transfer via the Fireblocks Network</w:t>
            </w:r>
          </w:p>
        </w:tc>
      </w:tr>
    </w:tbl>
    <w:p>
      <w:r>
        <w:t>Liquidity venues (not integration partners, but where USD1 trades): Binance, Coinbase, Kraken, OKX, Bybit; DEXs PancakeSwap and Raydium.</w:t>
      </w:r>
    </w:p>
    <w:p>
      <w:r>
        <w:t>Not USD1 partners (to avoid confusion): Anchorage Digital and Kraken/Robinhood are aligned with the Global Dollar (USDG) consortium; Brale issues other tokens (e.g., MainUSD) — none of these is a USD1 rail.</w:t>
      </w:r>
    </w:p>
    <w:p>
      <w:pPr>
        <w:pStyle w:val="Heading1"/>
      </w:pPr>
      <w:r>
        <w:t>6. What PayRails Builds (technical)</w:t>
      </w:r>
    </w:p>
    <w:p>
      <w:r>
        <w:t>The current ledger is single-currency USD (Decimal(12,2)), off-chain only. Stablecoin support requires:</w:t>
      </w:r>
    </w:p>
    <w:p>
      <w:pPr>
        <w:pStyle w:val="ListBullet"/>
      </w:pPr>
      <w:r>
        <w:t>Multi-asset ledger: asset/token model (USD vs USDC/PYUSD/USD1), 6-decimal precision, and a chain identifier.</w:t>
      </w:r>
    </w:p>
    <w:p>
      <w:pPr>
        <w:pStyle w:val="ListBullet"/>
      </w:pPr>
      <w:r>
        <w:t>On-chain settlement states on transactions (submitted -&gt; N confirmations -&gt; final; reorg handling).</w:t>
      </w:r>
    </w:p>
    <w:p>
      <w:pPr>
        <w:pStyle w:val="ListBullet"/>
      </w:pPr>
      <w:r>
        <w:t>Wallet/custody integration via the partner (address issuance, deposit detection, withdrawal requests).</w:t>
      </w:r>
    </w:p>
    <w:p>
      <w:pPr>
        <w:pStyle w:val="ListBullet"/>
      </w:pPr>
      <w:r>
        <w:t>Reconciliation engine between on-chain truth and the internal ledger.</w:t>
      </w:r>
    </w:p>
    <w:p>
      <w:pPr>
        <w:pStyle w:val="ListBullet"/>
      </w:pPr>
      <w:r>
        <w:t>Blockchain connectivity through the partner or RPC providers (per chain).</w:t>
      </w:r>
    </w:p>
    <w:p>
      <w:pPr>
        <w:pStyle w:val="ListBullet"/>
      </w:pPr>
      <w:r>
        <w:t>Consumer disclosures: stablecoins are not FDIC-insured.</w:t>
      </w:r>
    </w:p>
    <w:p>
      <w:pPr>
        <w:pStyle w:val="Heading1"/>
      </w:pPr>
      <w:r>
        <w:t>7. Regulatory Obligations (even with a partner)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Obligation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Who covers it</w:t>
            </w:r>
          </w:p>
        </w:tc>
      </w:tr>
      <w:tr>
        <w:tc>
          <w:tcPr>
            <w:tcW w:type="dxa" w:w="4320"/>
          </w:tcPr>
          <w:p>
            <w:r>
              <w:t>State money-transmitter licensing</w:t>
            </w:r>
          </w:p>
        </w:tc>
        <w:tc>
          <w:tcPr>
            <w:tcW w:type="dxa" w:w="4320"/>
          </w:tcPr>
          <w:p>
            <w:r>
              <w:t>Partner (PayRails operates under it)</w:t>
            </w:r>
          </w:p>
        </w:tc>
      </w:tr>
      <w:tr>
        <w:tc>
          <w:tcPr>
            <w:tcW w:type="dxa" w:w="4320"/>
          </w:tcPr>
          <w:p>
            <w:r>
              <w:t>FinCEN MSB registration &amp; BSA/AML program</w:t>
            </w:r>
          </w:p>
        </w:tc>
        <w:tc>
          <w:tcPr>
            <w:tcW w:type="dxa" w:w="4320"/>
          </w:tcPr>
          <w:p>
            <w:r>
              <w:t>Partner primary; PayRails supports data &amp; disclosures</w:t>
            </w:r>
          </w:p>
        </w:tc>
      </w:tr>
      <w:tr>
        <w:tc>
          <w:tcPr>
            <w:tcW w:type="dxa" w:w="4320"/>
          </w:tcPr>
          <w:p>
            <w:r>
              <w:t>KYC / CIP on consumers</w:t>
            </w:r>
          </w:p>
        </w:tc>
        <w:tc>
          <w:tcPr>
            <w:tcW w:type="dxa" w:w="4320"/>
          </w:tcPr>
          <w:p>
            <w:r>
              <w:t>Partner (PayRails collects/passes data)</w:t>
            </w:r>
          </w:p>
        </w:tc>
      </w:tr>
      <w:tr>
        <w:tc>
          <w:tcPr>
            <w:tcW w:type="dxa" w:w="4320"/>
          </w:tcPr>
          <w:p>
            <w:r>
              <w:t>OFAC / sanctions screening</w:t>
            </w:r>
          </w:p>
        </w:tc>
        <w:tc>
          <w:tcPr>
            <w:tcW w:type="dxa" w:w="4320"/>
          </w:tcPr>
          <w:p>
            <w:r>
              <w:t>Partner; PayRails retains records</w:t>
            </w:r>
          </w:p>
        </w:tc>
      </w:tr>
      <w:tr>
        <w:tc>
          <w:tcPr>
            <w:tcW w:type="dxa" w:w="4320"/>
          </w:tcPr>
          <w:p>
            <w:r>
              <w:t>Crypto Travel Rule (transfers &gt;= $3,000)</w:t>
            </w:r>
          </w:p>
        </w:tc>
        <w:tc>
          <w:tcPr>
            <w:tcW w:type="dxa" w:w="4320"/>
          </w:tcPr>
          <w:p>
            <w:r>
              <w:t>Partner</w:t>
            </w:r>
          </w:p>
        </w:tc>
      </w:tr>
      <w:tr>
        <w:tc>
          <w:tcPr>
            <w:tcW w:type="dxa" w:w="4320"/>
          </w:tcPr>
          <w:p>
            <w:r>
              <w:t>GENIUS Act 'permitted payment stablecoin' compliance</w:t>
            </w:r>
          </w:p>
        </w:tc>
        <w:tc>
          <w:tcPr>
            <w:tcW w:type="dxa" w:w="4320"/>
          </w:tcPr>
          <w:p>
            <w:r>
              <w:t>Verify per coin before enabling</w:t>
            </w:r>
          </w:p>
        </w:tc>
      </w:tr>
      <w:tr>
        <w:tc>
          <w:tcPr>
            <w:tcW w:type="dxa" w:w="4320"/>
          </w:tcPr>
          <w:p>
            <w:r>
              <w:t>Consumer disclosures (not FDIC-insured)</w:t>
            </w:r>
          </w:p>
        </w:tc>
        <w:tc>
          <w:tcPr>
            <w:tcW w:type="dxa" w:w="4320"/>
          </w:tcPr>
          <w:p>
            <w:r>
              <w:t>PayRails (in-product)</w:t>
            </w:r>
          </w:p>
        </w:tc>
      </w:tr>
    </w:tbl>
    <w:p>
      <w:pPr>
        <w:pStyle w:val="Heading1"/>
      </w:pPr>
      <w:r>
        <w:t>8. Audit &amp; Reporting Requirements</w:t>
      </w:r>
    </w:p>
    <w:p>
      <w:pPr>
        <w:pStyle w:val="ListBullet"/>
      </w:pPr>
      <w:r>
        <w:t>On-chain audit trail: immutable mapping of every transaction hash to internal ledger entries (core reporting artifact).</w:t>
      </w:r>
    </w:p>
    <w:p>
      <w:pPr>
        <w:pStyle w:val="ListBullet"/>
      </w:pPr>
      <w:r>
        <w:t>Blockchain analytics / KYT (Chainalysis, TRM Labs, or Elliptic) — for AML monitoring and audit evidence.</w:t>
      </w:r>
    </w:p>
    <w:p>
      <w:pPr>
        <w:pStyle w:val="ListBullet"/>
      </w:pPr>
      <w:r>
        <w:t>Sanctions-screening records: counterparty address screening retained for examination.</w:t>
      </w:r>
    </w:p>
    <w:p>
      <w:pPr>
        <w:pStyle w:val="ListBullet"/>
      </w:pPr>
      <w:r>
        <w:t>Regulatory filings: SARs, CTRs (&gt;$10k), Form 8300, Form 1099-DA (crypto broker reporting), state MTL call reports (via partner).</w:t>
      </w:r>
    </w:p>
    <w:p>
      <w:pPr>
        <w:pStyle w:val="ListBullet"/>
      </w:pPr>
      <w:r>
        <w:t>Fund segregation &amp; custody audit: proof customer assets are segregated.</w:t>
      </w:r>
    </w:p>
    <w:p>
      <w:pPr>
        <w:pStyle w:val="ListBullet"/>
      </w:pPr>
      <w:r>
        <w:t>SOC 2 (security) from the Security Audit Plan; SOC 1 (ICFR) if PayRails affects customers' financial reporting.</w:t>
      </w:r>
    </w:p>
    <w:p>
      <w:pPr>
        <w:pStyle w:val="ListBullet"/>
      </w:pPr>
      <w:r>
        <w:t>Reserve attestations: provided by the issuer (Circle / Paxos / BitGo for USD1) — PayRails references, does not produce, these.</w:t>
      </w:r>
    </w:p>
    <w:p>
      <w:pPr>
        <w:pStyle w:val="Heading1"/>
      </w:pPr>
      <w:r>
        <w:t>9. Phased Rollout</w:t>
      </w:r>
    </w:p>
    <w:p>
      <w:pPr>
        <w:pStyle w:val="ListNumber"/>
      </w:pPr>
      <w:r>
        <w:t>Prerequisite: stand up real KYC + AML/sanctions screening (none exists today) — blocks all real-money paths.</w:t>
      </w:r>
    </w:p>
    <w:p>
      <w:pPr>
        <w:pStyle w:val="ListNumber"/>
      </w:pPr>
      <w:r>
        <w:t>Phase 1: USDC via a regulated partner (Circle, Zero Hash, or Bridge); build multi-asset ledger + wallet/reconciliation layer.</w:t>
      </w:r>
    </w:p>
    <w:p>
      <w:pPr>
        <w:pStyle w:val="ListNumber"/>
      </w:pPr>
      <w:r>
        <w:t>Phase 2: add PYUSD (Paxos or same orchestrator).</w:t>
      </w:r>
    </w:p>
    <w:p>
      <w:pPr>
        <w:pStyle w:val="ListNumber"/>
      </w:pPr>
      <w:r>
        <w:t>Phase 3: add USD1 (Zero Hash / BitGo / Fireblocks) after confirming GENIUS Act status and demand.</w:t>
      </w:r>
    </w:p>
    <w:p>
      <w:pPr>
        <w:pStyle w:val="Heading1"/>
      </w:pPr>
      <w:r>
        <w:t>10. Owners &amp; Next Actions</w:t>
      </w:r>
    </w:p>
    <w:p>
      <w:pPr>
        <w:pStyle w:val="ListBullet"/>
      </w:pPr>
      <w:r>
        <w:t>Engage fintech/crypto legal counsel and a BSA/AML compliance officer.</w:t>
      </w:r>
    </w:p>
    <w:p>
      <w:pPr>
        <w:pStyle w:val="ListBullet"/>
      </w:pPr>
      <w:r>
        <w:t>Select the primary regulated partner (recommend an orchestrator: Zero Hash or Bridge) and confirm coin coverage.</w:t>
      </w:r>
    </w:p>
    <w:p>
      <w:pPr>
        <w:pStyle w:val="ListBullet"/>
      </w:pPr>
      <w:r>
        <w:t>Design the multi-asset ledger and reconciliation model.</w:t>
      </w:r>
    </w:p>
    <w:p>
      <w:pPr>
        <w:pStyle w:val="ListBullet"/>
      </w:pPr>
      <w:r>
        <w:t>Stand up KYC/AML and blockchain analytics (KYT) before enabling any live coin.</w:t>
      </w:r>
    </w:p>
    <w:p>
      <w:pPr>
        <w:pStyle w:val="Heading1"/>
      </w:pPr>
      <w:r>
        <w:t>11. References</w:t>
      </w:r>
    </w:p>
    <w:p>
      <w:pPr>
        <w:pStyle w:val="ListBullet"/>
      </w:pPr>
      <w:r>
        <w:t>WLFI Docs — What is USD1: https://docs.worldlibertyfinancial.com/usd1-token/what-is-usd1</w:t>
      </w:r>
    </w:p>
    <w:p>
      <w:pPr>
        <w:pStyle w:val="ListBullet"/>
      </w:pPr>
      <w:r>
        <w:t>BitGo — USD1: The Blueprint for BitGo's Stablecoin-as-a-Service: https://www.bitgo.com/resources/blog/usd1-the-blueprint-for-bitgos-stablecoin-as-a-service/</w:t>
      </w:r>
    </w:p>
    <w:p>
      <w:pPr>
        <w:pStyle w:val="ListBullet"/>
      </w:pPr>
      <w:r>
        <w:t>Zero Hash integrates USD1 and WLFI (July 2026): https://www.manilatimes.net/2026/07/14/tmt-newswire/globenewswire/zerohash-integrates-usd1-and-wlfi-enabling-access-to-its-bank-brokerages-and-fintech-client-base/2384288/amp</w:t>
      </w:r>
    </w:p>
    <w:p>
      <w:pPr>
        <w:pStyle w:val="ListBullet"/>
      </w:pPr>
      <w:r>
        <w:t>Zero Hash — Production Environment Stablecoins: https://docs.zerohash.com/page/production-environment-stablecoins</w:t>
      </w:r>
    </w:p>
    <w:p>
      <w:pPr>
        <w:pStyle w:val="ListBullet"/>
      </w:pPr>
      <w:r>
        <w:t>Eco — Best Stablecoin Custody Providers 2026 (Fireblocks, BitGo, Anchorage): https://eco.com/support/en/articles/15210385-best-stablecoin-custody-providers-2026-fireblocks-bitgo-anchorage-compared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