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F7D32" w14:textId="77777777" w:rsidR="006D1929" w:rsidRPr="00BE49A6" w:rsidRDefault="006D1929" w:rsidP="006D1929">
      <w:pPr>
        <w:rPr>
          <w:rFonts w:asciiTheme="minorHAnsi" w:hAnsiTheme="minorHAnsi"/>
          <w:b/>
          <w:spacing w:val="36"/>
          <w:sz w:val="36"/>
          <w:szCs w:val="24"/>
          <w:lang w:val="en-GB"/>
        </w:rPr>
      </w:pPr>
      <w:bookmarkStart w:id="0" w:name="_Hlk14873589"/>
      <w:bookmarkEnd w:id="0"/>
      <w:r w:rsidRPr="00BE49A6">
        <w:rPr>
          <w:rFonts w:asciiTheme="minorHAnsi" w:hAnsiTheme="minorHAnsi"/>
          <w:b/>
          <w:spacing w:val="36"/>
          <w:sz w:val="36"/>
          <w:szCs w:val="24"/>
          <w:lang w:val="en-GB" w:eastAsia="nl-NL"/>
        </w:rPr>
        <w:tab/>
      </w:r>
      <w:r w:rsidRPr="00BE49A6">
        <w:rPr>
          <w:rFonts w:eastAsia="Times New Roman"/>
          <w:noProof/>
          <w:sz w:val="20"/>
          <w:szCs w:val="20"/>
          <w:lang w:val="it-IT" w:eastAsia="it-IT"/>
        </w:rPr>
        <w:drawing>
          <wp:inline distT="0" distB="0" distL="0" distR="0" wp14:anchorId="2D7C08B9" wp14:editId="0A675C67">
            <wp:extent cx="1752600" cy="561975"/>
            <wp:effectExtent l="0" t="0" r="0" b="0"/>
            <wp:docPr id="4"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F0C5DD7075E7D43BCF4E4A2C0F6F5C8@ec.europa.eu"/>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752788" cy="562035"/>
                    </a:xfrm>
                    <a:prstGeom prst="rect">
                      <a:avLst/>
                    </a:prstGeom>
                    <a:noFill/>
                    <a:ln>
                      <a:noFill/>
                    </a:ln>
                  </pic:spPr>
                </pic:pic>
              </a:graphicData>
            </a:graphic>
          </wp:inline>
        </w:drawing>
      </w:r>
      <w:r w:rsidRPr="00BE49A6">
        <w:rPr>
          <w:rFonts w:asciiTheme="minorHAnsi" w:hAnsiTheme="minorHAnsi"/>
          <w:b/>
          <w:spacing w:val="36"/>
          <w:sz w:val="36"/>
          <w:szCs w:val="24"/>
          <w:lang w:val="en-GB" w:eastAsia="nl-NL"/>
        </w:rPr>
        <w:tab/>
      </w:r>
      <w:r w:rsidRPr="00BE49A6">
        <w:rPr>
          <w:rFonts w:asciiTheme="minorHAnsi" w:hAnsiTheme="minorHAnsi"/>
          <w:b/>
          <w:spacing w:val="36"/>
          <w:sz w:val="36"/>
          <w:szCs w:val="24"/>
          <w:lang w:val="en-GB" w:eastAsia="nl-NL"/>
        </w:rPr>
        <w:tab/>
      </w:r>
      <w:r w:rsidRPr="00BE49A6">
        <w:rPr>
          <w:rFonts w:asciiTheme="minorHAnsi" w:hAnsiTheme="minorHAnsi"/>
          <w:b/>
          <w:spacing w:val="36"/>
          <w:sz w:val="36"/>
          <w:szCs w:val="24"/>
          <w:lang w:val="en-GB" w:eastAsia="nl-NL"/>
        </w:rPr>
        <w:tab/>
      </w:r>
      <w:r w:rsidRPr="00BE49A6">
        <w:rPr>
          <w:rFonts w:asciiTheme="minorHAnsi" w:hAnsiTheme="minorHAnsi"/>
          <w:b/>
          <w:spacing w:val="36"/>
          <w:sz w:val="36"/>
          <w:szCs w:val="24"/>
          <w:lang w:val="en-GB" w:eastAsia="nl-NL"/>
        </w:rPr>
        <w:tab/>
      </w:r>
      <w:r w:rsidRPr="00BE49A6">
        <w:rPr>
          <w:rFonts w:asciiTheme="minorHAnsi" w:hAnsiTheme="minorHAnsi"/>
          <w:b/>
          <w:spacing w:val="36"/>
          <w:sz w:val="36"/>
          <w:szCs w:val="24"/>
          <w:lang w:val="en-GB"/>
        </w:rPr>
        <w:tab/>
      </w:r>
      <w:r w:rsidRPr="00BE49A6">
        <w:rPr>
          <w:noProof/>
          <w:lang w:val="it-IT" w:eastAsia="it-IT"/>
        </w:rPr>
        <w:drawing>
          <wp:inline distT="0" distB="0" distL="0" distR="0" wp14:anchorId="3A50A1ED" wp14:editId="4260D804">
            <wp:extent cx="1589906" cy="1123056"/>
            <wp:effectExtent l="0" t="0" r="0" b="1270"/>
            <wp:docPr id="1" name="Afbeelding 1" descr="C:\Users\PSJS\AppData\Local\Microsoft\Windows\INetCache\Content.Outlook\HV93PY48\EssnetBig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JS\AppData\Local\Microsoft\Windows\INetCache\Content.Outlook\HV93PY48\EssnetBigData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0497" cy="1137601"/>
                    </a:xfrm>
                    <a:prstGeom prst="rect">
                      <a:avLst/>
                    </a:prstGeom>
                    <a:noFill/>
                    <a:ln>
                      <a:noFill/>
                    </a:ln>
                  </pic:spPr>
                </pic:pic>
              </a:graphicData>
            </a:graphic>
          </wp:inline>
        </w:drawing>
      </w:r>
    </w:p>
    <w:p w14:paraId="2752D34A" w14:textId="77777777" w:rsidR="006D1929" w:rsidRPr="00BE49A6" w:rsidRDefault="006D1929" w:rsidP="006D1929">
      <w:pPr>
        <w:jc w:val="center"/>
        <w:rPr>
          <w:rFonts w:asciiTheme="minorHAnsi" w:hAnsiTheme="minorHAnsi"/>
          <w:b/>
          <w:spacing w:val="36"/>
          <w:sz w:val="36"/>
          <w:szCs w:val="24"/>
          <w:lang w:val="en-GB"/>
        </w:rPr>
      </w:pPr>
    </w:p>
    <w:p w14:paraId="2F80757B" w14:textId="77777777" w:rsidR="006D1929" w:rsidRPr="00BE49A6" w:rsidRDefault="006D1929" w:rsidP="006D1929">
      <w:pPr>
        <w:jc w:val="center"/>
        <w:rPr>
          <w:rFonts w:asciiTheme="minorHAnsi" w:hAnsiTheme="minorHAnsi"/>
          <w:b/>
          <w:spacing w:val="36"/>
          <w:sz w:val="36"/>
          <w:szCs w:val="24"/>
          <w:lang w:val="en-GB"/>
        </w:rPr>
      </w:pPr>
      <w:r w:rsidRPr="00BE49A6">
        <w:rPr>
          <w:rFonts w:asciiTheme="minorHAnsi" w:hAnsiTheme="minorHAnsi"/>
          <w:b/>
          <w:spacing w:val="36"/>
          <w:sz w:val="36"/>
          <w:szCs w:val="24"/>
          <w:lang w:val="en-GB"/>
        </w:rPr>
        <w:t>ESSnet Big Data II</w:t>
      </w:r>
    </w:p>
    <w:p w14:paraId="6E27C0FA" w14:textId="77777777" w:rsidR="006D1929" w:rsidRPr="00BE49A6" w:rsidRDefault="006D1929" w:rsidP="006D1929">
      <w:pPr>
        <w:jc w:val="center"/>
        <w:rPr>
          <w:rFonts w:asciiTheme="minorHAnsi" w:hAnsiTheme="minorHAnsi"/>
          <w:b/>
          <w:spacing w:val="36"/>
          <w:sz w:val="36"/>
          <w:szCs w:val="24"/>
          <w:lang w:val="en-GB"/>
        </w:rPr>
      </w:pPr>
    </w:p>
    <w:p w14:paraId="06233A19" w14:textId="127F0F59" w:rsidR="006D1929" w:rsidRPr="00BE49A6" w:rsidRDefault="006D1929" w:rsidP="006D1929">
      <w:pPr>
        <w:spacing w:after="120" w:line="240" w:lineRule="auto"/>
        <w:jc w:val="center"/>
        <w:rPr>
          <w:rFonts w:asciiTheme="minorHAnsi" w:hAnsiTheme="minorHAnsi"/>
          <w:b/>
          <w:spacing w:val="36"/>
          <w:sz w:val="28"/>
          <w:szCs w:val="24"/>
          <w:lang w:val="en-GB"/>
        </w:rPr>
      </w:pPr>
      <w:r w:rsidRPr="00BE49A6">
        <w:rPr>
          <w:rFonts w:asciiTheme="minorHAnsi" w:hAnsiTheme="minorHAnsi"/>
          <w:b/>
          <w:spacing w:val="36"/>
          <w:sz w:val="28"/>
          <w:szCs w:val="24"/>
          <w:lang w:val="en-GB"/>
        </w:rPr>
        <w:t xml:space="preserve">Grant Agreement Number: </w:t>
      </w:r>
      <w:r w:rsidR="00F102CD" w:rsidRPr="00BE49A6">
        <w:rPr>
          <w:rFonts w:asciiTheme="minorHAnsi" w:hAnsiTheme="minorHAnsi"/>
          <w:b/>
          <w:spacing w:val="36"/>
          <w:sz w:val="28"/>
          <w:szCs w:val="24"/>
          <w:lang w:val="en-GB"/>
        </w:rPr>
        <w:t>847375-2018-NL-BIGDATA</w:t>
      </w:r>
    </w:p>
    <w:p w14:paraId="10788D8D" w14:textId="77777777" w:rsidR="006D1929" w:rsidRPr="00BE49A6" w:rsidRDefault="006D1929" w:rsidP="006D1929">
      <w:pPr>
        <w:spacing w:after="0" w:line="240" w:lineRule="auto"/>
        <w:jc w:val="center"/>
        <w:rPr>
          <w:rStyle w:val="Collegamentoipertestuale"/>
          <w:rFonts w:asciiTheme="minorHAnsi" w:hAnsiTheme="minorHAnsi" w:cs="Calibri"/>
          <w:spacing w:val="36"/>
          <w:lang w:val="en-GB"/>
        </w:rPr>
      </w:pPr>
      <w:r w:rsidRPr="00BE49A6">
        <w:rPr>
          <w:rFonts w:asciiTheme="minorHAnsi" w:hAnsiTheme="minorHAnsi" w:cs="Calibri"/>
          <w:spacing w:val="36"/>
          <w:sz w:val="24"/>
          <w:szCs w:val="24"/>
          <w:lang w:val="en-GB"/>
        </w:rPr>
        <w:fldChar w:fldCharType="begin"/>
      </w:r>
      <w:r w:rsidRPr="00BE49A6">
        <w:rPr>
          <w:rFonts w:asciiTheme="minorHAnsi" w:hAnsiTheme="minorHAnsi" w:cs="Calibri"/>
          <w:spacing w:val="36"/>
          <w:sz w:val="24"/>
          <w:szCs w:val="24"/>
          <w:lang w:val="en-GB"/>
        </w:rPr>
        <w:instrText xml:space="preserve"> HYPERLINK "https://webgate.ec.europa.eu/fpfis/mwikis/essnetbigdata" </w:instrText>
      </w:r>
      <w:r w:rsidRPr="00BE49A6">
        <w:rPr>
          <w:rFonts w:asciiTheme="minorHAnsi" w:hAnsiTheme="minorHAnsi" w:cs="Calibri"/>
          <w:spacing w:val="36"/>
          <w:sz w:val="24"/>
          <w:szCs w:val="24"/>
          <w:lang w:val="en-GB"/>
        </w:rPr>
        <w:fldChar w:fldCharType="separate"/>
      </w:r>
      <w:r w:rsidRPr="00BE49A6">
        <w:rPr>
          <w:rStyle w:val="Collegamentoipertestuale"/>
          <w:rFonts w:asciiTheme="minorHAnsi" w:hAnsiTheme="minorHAnsi" w:cs="Calibri"/>
          <w:spacing w:val="36"/>
          <w:lang w:val="en-GB"/>
        </w:rPr>
        <w:t>https://webgate.ec.europa.eu/fpfis/mwikis/essnetbigdata</w:t>
      </w:r>
    </w:p>
    <w:p w14:paraId="7BDB2419" w14:textId="77777777" w:rsidR="006D1929" w:rsidRPr="00BE49A6" w:rsidRDefault="006D1929" w:rsidP="006D1929">
      <w:pPr>
        <w:spacing w:after="0" w:line="240" w:lineRule="auto"/>
        <w:jc w:val="center"/>
        <w:rPr>
          <w:rFonts w:asciiTheme="minorHAnsi" w:hAnsiTheme="minorHAnsi" w:cs="Calibri"/>
          <w:lang w:val="en-GB"/>
        </w:rPr>
      </w:pPr>
      <w:r w:rsidRPr="00BE49A6">
        <w:rPr>
          <w:rFonts w:asciiTheme="minorHAnsi" w:hAnsiTheme="minorHAnsi" w:cs="Calibri"/>
          <w:spacing w:val="36"/>
          <w:sz w:val="24"/>
          <w:szCs w:val="24"/>
          <w:lang w:val="en-GB"/>
        </w:rPr>
        <w:fldChar w:fldCharType="end"/>
      </w:r>
      <w:hyperlink r:id="rId11" w:history="1">
        <w:hyperlink r:id="rId12" w:history="1">
          <w:r w:rsidRPr="00BE49A6">
            <w:rPr>
              <w:rStyle w:val="Collegamentoipertestuale"/>
              <w:rFonts w:asciiTheme="minorHAnsi" w:hAnsiTheme="minorHAnsi" w:cs="Calibri"/>
              <w:spacing w:val="36"/>
              <w:lang w:val="en-GB"/>
            </w:rPr>
            <w:t>https://ec.europa.eu/eurostat/cros/content/essnetbigdata_en</w:t>
          </w:r>
        </w:hyperlink>
      </w:hyperlink>
    </w:p>
    <w:p w14:paraId="2104D708" w14:textId="77777777" w:rsidR="006D1929" w:rsidRPr="00BE49A6" w:rsidRDefault="006D1929" w:rsidP="006D1929">
      <w:pPr>
        <w:spacing w:after="120" w:line="240" w:lineRule="auto"/>
        <w:jc w:val="center"/>
        <w:rPr>
          <w:rFonts w:asciiTheme="minorHAnsi" w:hAnsiTheme="minorHAnsi" w:cs="Calibri"/>
          <w:lang w:val="en-GB"/>
        </w:rPr>
      </w:pPr>
    </w:p>
    <w:p w14:paraId="6CD5E497" w14:textId="69DF5464" w:rsidR="006D1929" w:rsidRPr="00BE49A6" w:rsidRDefault="006D1929" w:rsidP="006D1929">
      <w:pPr>
        <w:spacing w:after="120" w:line="240" w:lineRule="auto"/>
        <w:jc w:val="center"/>
        <w:rPr>
          <w:rFonts w:asciiTheme="minorHAnsi" w:hAnsiTheme="minorHAnsi"/>
          <w:b/>
          <w:spacing w:val="36"/>
          <w:sz w:val="32"/>
          <w:szCs w:val="32"/>
          <w:lang w:val="en-GB"/>
        </w:rPr>
      </w:pPr>
      <w:r w:rsidRPr="00BE49A6">
        <w:rPr>
          <w:rFonts w:asciiTheme="minorHAnsi" w:hAnsiTheme="minorHAnsi"/>
          <w:b/>
          <w:spacing w:val="36"/>
          <w:sz w:val="32"/>
          <w:szCs w:val="32"/>
          <w:lang w:val="en-GB"/>
        </w:rPr>
        <w:t xml:space="preserve">Workpackage </w:t>
      </w:r>
      <w:r w:rsidR="000E66F6" w:rsidRPr="00BE49A6">
        <w:rPr>
          <w:rFonts w:asciiTheme="minorHAnsi" w:hAnsiTheme="minorHAnsi"/>
          <w:b/>
          <w:spacing w:val="36"/>
          <w:sz w:val="32"/>
          <w:szCs w:val="32"/>
          <w:lang w:val="en-GB"/>
        </w:rPr>
        <w:t>WPB</w:t>
      </w:r>
    </w:p>
    <w:p w14:paraId="64AF780E" w14:textId="7309A3F5" w:rsidR="006D1929" w:rsidRPr="00BE49A6" w:rsidRDefault="004771EC" w:rsidP="006D1929">
      <w:pPr>
        <w:spacing w:after="120" w:line="240" w:lineRule="auto"/>
        <w:jc w:val="center"/>
        <w:rPr>
          <w:rFonts w:asciiTheme="minorHAnsi" w:hAnsiTheme="minorHAnsi"/>
          <w:b/>
          <w:spacing w:val="36"/>
          <w:sz w:val="32"/>
          <w:szCs w:val="32"/>
          <w:lang w:val="en-GB"/>
        </w:rPr>
      </w:pPr>
      <w:r w:rsidRPr="00BE49A6">
        <w:rPr>
          <w:rFonts w:asciiTheme="minorHAnsi" w:hAnsiTheme="minorHAnsi"/>
          <w:b/>
          <w:spacing w:val="36"/>
          <w:sz w:val="32"/>
          <w:szCs w:val="32"/>
          <w:lang w:val="en-GB"/>
        </w:rPr>
        <w:t xml:space="preserve">Implementation – </w:t>
      </w:r>
      <w:r w:rsidR="000E66F6" w:rsidRPr="00BE49A6">
        <w:rPr>
          <w:rFonts w:asciiTheme="minorHAnsi" w:hAnsiTheme="minorHAnsi"/>
          <w:b/>
          <w:spacing w:val="36"/>
          <w:sz w:val="32"/>
          <w:szCs w:val="32"/>
          <w:lang w:val="en-GB"/>
        </w:rPr>
        <w:t>Online Job Vacancies</w:t>
      </w:r>
    </w:p>
    <w:p w14:paraId="3A9D8D06" w14:textId="1B475B45" w:rsidR="006D1929" w:rsidRPr="00BE49A6" w:rsidRDefault="006D1929" w:rsidP="006D1929">
      <w:pPr>
        <w:spacing w:after="120" w:line="240" w:lineRule="auto"/>
        <w:jc w:val="center"/>
        <w:rPr>
          <w:rFonts w:asciiTheme="minorHAnsi" w:hAnsiTheme="minorHAnsi"/>
          <w:b/>
          <w:spacing w:val="36"/>
          <w:sz w:val="32"/>
          <w:szCs w:val="32"/>
          <w:lang w:val="en-GB"/>
        </w:rPr>
      </w:pPr>
    </w:p>
    <w:p w14:paraId="4937F426" w14:textId="6869475D" w:rsidR="006D1929" w:rsidRDefault="00DB315A" w:rsidP="00DB315A">
      <w:pPr>
        <w:spacing w:after="120" w:line="240" w:lineRule="auto"/>
        <w:jc w:val="center"/>
        <w:rPr>
          <w:rFonts w:asciiTheme="minorHAnsi" w:hAnsiTheme="minorHAnsi"/>
          <w:b/>
          <w:spacing w:val="36"/>
          <w:sz w:val="32"/>
          <w:szCs w:val="32"/>
          <w:lang w:val="en-GB"/>
        </w:rPr>
      </w:pPr>
      <w:r>
        <w:rPr>
          <w:rFonts w:asciiTheme="minorHAnsi" w:hAnsiTheme="minorHAnsi"/>
          <w:b/>
          <w:spacing w:val="36"/>
          <w:sz w:val="32"/>
          <w:szCs w:val="32"/>
          <w:lang w:val="en-GB"/>
        </w:rPr>
        <w:t>Report on Outputs</w:t>
      </w:r>
      <w:r w:rsidR="003115C8">
        <w:rPr>
          <w:rFonts w:asciiTheme="minorHAnsi" w:hAnsiTheme="minorHAnsi"/>
          <w:b/>
          <w:spacing w:val="36"/>
          <w:sz w:val="32"/>
          <w:szCs w:val="32"/>
          <w:lang w:val="en-GB"/>
        </w:rPr>
        <w:t>:</w:t>
      </w:r>
    </w:p>
    <w:p w14:paraId="2529190C" w14:textId="77777777" w:rsidR="003115C8" w:rsidRDefault="003115C8" w:rsidP="008D2BE4">
      <w:pPr>
        <w:spacing w:after="120" w:line="240" w:lineRule="auto"/>
        <w:jc w:val="center"/>
        <w:rPr>
          <w:rFonts w:asciiTheme="minorHAnsi" w:hAnsiTheme="minorHAnsi"/>
          <w:b/>
          <w:spacing w:val="36"/>
          <w:sz w:val="32"/>
          <w:szCs w:val="32"/>
          <w:lang w:val="en-GB"/>
        </w:rPr>
      </w:pPr>
    </w:p>
    <w:p w14:paraId="1EC0968A" w14:textId="46154F3A" w:rsidR="00702B0B" w:rsidRPr="00702B0B" w:rsidRDefault="00DB315A" w:rsidP="00702B0B">
      <w:pPr>
        <w:spacing w:after="120" w:line="240" w:lineRule="auto"/>
        <w:jc w:val="center"/>
        <w:rPr>
          <w:rFonts w:asciiTheme="minorHAnsi" w:hAnsiTheme="minorHAnsi"/>
          <w:b/>
          <w:spacing w:val="36"/>
          <w:sz w:val="32"/>
          <w:szCs w:val="32"/>
          <w:lang w:val="en-GB"/>
        </w:rPr>
      </w:pPr>
      <w:r w:rsidRPr="00DB315A">
        <w:rPr>
          <w:rFonts w:asciiTheme="minorHAnsi" w:hAnsiTheme="minorHAnsi"/>
          <w:b/>
          <w:spacing w:val="36"/>
          <w:sz w:val="32"/>
          <w:szCs w:val="32"/>
          <w:lang w:val="en-GB"/>
        </w:rPr>
        <w:t>Supplementary indicators for official statistics from OJA</w:t>
      </w:r>
      <w:r>
        <w:rPr>
          <w:rFonts w:asciiTheme="minorHAnsi" w:hAnsiTheme="minorHAnsi"/>
          <w:b/>
          <w:spacing w:val="36"/>
          <w:sz w:val="32"/>
          <w:szCs w:val="32"/>
          <w:lang w:val="en-GB"/>
        </w:rPr>
        <w:t>s</w:t>
      </w:r>
      <w:r w:rsidR="00443AB0">
        <w:rPr>
          <w:rFonts w:asciiTheme="minorHAnsi" w:hAnsiTheme="minorHAnsi"/>
          <w:b/>
          <w:spacing w:val="36"/>
          <w:sz w:val="32"/>
          <w:szCs w:val="32"/>
          <w:lang w:val="en-GB"/>
        </w:rPr>
        <w:t>: the Italian case</w:t>
      </w:r>
    </w:p>
    <w:p w14:paraId="0979DFE9" w14:textId="61774A40" w:rsidR="006D1929" w:rsidRPr="00BE49A6" w:rsidRDefault="0049163E" w:rsidP="006D1929">
      <w:pPr>
        <w:ind w:left="720"/>
        <w:jc w:val="both"/>
        <w:rPr>
          <w:rFonts w:asciiTheme="minorHAnsi" w:hAnsiTheme="minorHAnsi"/>
          <w:lang w:val="en-GB"/>
        </w:rPr>
      </w:pPr>
      <w:r w:rsidRPr="00BE49A6">
        <w:rPr>
          <w:rFonts w:asciiTheme="minorHAnsi" w:hAnsiTheme="minorHAnsi"/>
          <w:noProof/>
          <w:lang w:val="it-IT" w:eastAsia="it-IT"/>
        </w:rPr>
        <mc:AlternateContent>
          <mc:Choice Requires="wps">
            <w:drawing>
              <wp:anchor distT="0" distB="0" distL="114300" distR="114300" simplePos="0" relativeHeight="251659264" behindDoc="0" locked="0" layoutInCell="1" allowOverlap="1" wp14:anchorId="71D0B2CB" wp14:editId="521E4DA3">
                <wp:simplePos x="0" y="0"/>
                <wp:positionH relativeFrom="margin">
                  <wp:align>right</wp:align>
                </wp:positionH>
                <wp:positionV relativeFrom="paragraph">
                  <wp:posOffset>133985</wp:posOffset>
                </wp:positionV>
                <wp:extent cx="5715000" cy="160020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00200"/>
                        </a:xfrm>
                        <a:prstGeom prst="rect">
                          <a:avLst/>
                        </a:prstGeom>
                        <a:solidFill>
                          <a:srgbClr val="FFFFFF"/>
                        </a:solidFill>
                        <a:ln w="9525">
                          <a:solidFill>
                            <a:srgbClr val="000000"/>
                          </a:solidFill>
                          <a:miter lim="800000"/>
                          <a:headEnd/>
                          <a:tailEnd/>
                        </a:ln>
                      </wps:spPr>
                      <wps:txbx>
                        <w:txbxContent>
                          <w:p w14:paraId="240843DF" w14:textId="0F007790" w:rsidR="003C565B" w:rsidRPr="009E65CC" w:rsidRDefault="003C565B" w:rsidP="004771EC">
                            <w:pPr>
                              <w:spacing w:after="0" w:line="240" w:lineRule="auto"/>
                              <w:jc w:val="center"/>
                              <w:rPr>
                                <w:b/>
                                <w:sz w:val="28"/>
                                <w:szCs w:val="28"/>
                                <w:lang w:val="it-IT"/>
                              </w:rPr>
                            </w:pPr>
                            <w:r w:rsidRPr="009E65CC">
                              <w:rPr>
                                <w:b/>
                                <w:sz w:val="28"/>
                                <w:szCs w:val="28"/>
                                <w:lang w:val="it-IT"/>
                              </w:rPr>
                              <w:t xml:space="preserve">Prepared by: </w:t>
                            </w:r>
                          </w:p>
                          <w:p w14:paraId="71C947AE" w14:textId="4DEE4019" w:rsidR="003C565B" w:rsidRPr="00B67F5D" w:rsidRDefault="003C565B" w:rsidP="003115C8">
                            <w:pPr>
                              <w:spacing w:after="0" w:line="240" w:lineRule="auto"/>
                              <w:jc w:val="center"/>
                              <w:rPr>
                                <w:b/>
                                <w:sz w:val="28"/>
                                <w:szCs w:val="28"/>
                                <w:lang w:val="it-IT"/>
                              </w:rPr>
                            </w:pPr>
                            <w:r w:rsidRPr="003115C8">
                              <w:rPr>
                                <w:b/>
                                <w:sz w:val="28"/>
                                <w:szCs w:val="28"/>
                                <w:lang w:val="it-IT"/>
                              </w:rPr>
                              <w:t xml:space="preserve"> </w:t>
                            </w:r>
                            <w:r w:rsidRPr="00B67F5D">
                              <w:rPr>
                                <w:b/>
                                <w:sz w:val="28"/>
                                <w:szCs w:val="28"/>
                                <w:lang w:val="it-IT"/>
                              </w:rPr>
                              <w:t>Massimiliano Amarone,</w:t>
                            </w:r>
                          </w:p>
                          <w:p w14:paraId="54EE601E" w14:textId="74ECC385" w:rsidR="003C565B" w:rsidRPr="003115C8" w:rsidRDefault="003C565B" w:rsidP="004771EC">
                            <w:pPr>
                              <w:spacing w:after="0" w:line="240" w:lineRule="auto"/>
                              <w:jc w:val="center"/>
                              <w:rPr>
                                <w:b/>
                                <w:sz w:val="28"/>
                                <w:szCs w:val="28"/>
                                <w:lang w:val="it-IT"/>
                              </w:rPr>
                            </w:pPr>
                            <w:r w:rsidRPr="00B67F5D">
                              <w:rPr>
                                <w:b/>
                                <w:sz w:val="28"/>
                                <w:szCs w:val="28"/>
                                <w:lang w:val="it-IT"/>
                              </w:rPr>
                              <w:t>Domenico Aprile, Diego Chianella, Annalisa Lucarelli and Marina Sorrentino</w:t>
                            </w:r>
                          </w:p>
                          <w:p w14:paraId="22798CD5" w14:textId="2C1C9A8D" w:rsidR="003C565B" w:rsidRPr="003115C8" w:rsidRDefault="003C565B" w:rsidP="004771EC">
                            <w:pPr>
                              <w:spacing w:after="0" w:line="240" w:lineRule="auto"/>
                              <w:jc w:val="center"/>
                              <w:rPr>
                                <w:b/>
                                <w:sz w:val="28"/>
                                <w:szCs w:val="28"/>
                                <w:lang w:val="it-IT"/>
                              </w:rPr>
                            </w:pPr>
                          </w:p>
                          <w:p w14:paraId="6061DE86" w14:textId="25A2A993" w:rsidR="003C565B" w:rsidRPr="003115C8" w:rsidRDefault="003C565B" w:rsidP="00EC79CE">
                            <w:pPr>
                              <w:spacing w:after="0" w:line="240" w:lineRule="auto"/>
                              <w:rPr>
                                <w:b/>
                                <w:sz w:val="28"/>
                                <w:szCs w:val="28"/>
                                <w:lang w:val="it-IT"/>
                              </w:rPr>
                            </w:pPr>
                          </w:p>
                          <w:p w14:paraId="1055DAF5" w14:textId="0D4357EF" w:rsidR="003C565B" w:rsidRPr="003115C8" w:rsidRDefault="003C565B" w:rsidP="003115C8">
                            <w:pPr>
                              <w:spacing w:after="0" w:line="240" w:lineRule="auto"/>
                              <w:rPr>
                                <w:lang w:val="en-GB"/>
                              </w:rPr>
                            </w:pPr>
                            <w:r w:rsidRPr="003115C8">
                              <w:rPr>
                                <w:b/>
                                <w:sz w:val="28"/>
                                <w:szCs w:val="28"/>
                                <w:lang w:val="en-GB"/>
                              </w:rPr>
                              <w:t xml:space="preserve">Date of present version: </w:t>
                            </w:r>
                            <w:r>
                              <w:rPr>
                                <w:b/>
                                <w:sz w:val="28"/>
                                <w:szCs w:val="28"/>
                                <w:lang w:val="en-GB"/>
                              </w:rPr>
                              <w:t>September</w:t>
                            </w:r>
                            <w:r w:rsidRPr="003115C8">
                              <w:rPr>
                                <w:b/>
                                <w:sz w:val="28"/>
                                <w:szCs w:val="28"/>
                                <w:lang w:val="en-GB"/>
                              </w:rPr>
                              <w:t xml:space="preserve"> 2020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D0B2CB" id="_x0000_t202" coordsize="21600,21600" o:spt="202" path="m,l,21600r21600,l21600,xe">
                <v:stroke joinstyle="miter"/>
                <v:path gradientshapeok="t" o:connecttype="rect"/>
              </v:shapetype>
              <v:shape id="Tekstvak 2" o:spid="_x0000_s1026" type="#_x0000_t202" style="position:absolute;left:0;text-align:left;margin-left:398.8pt;margin-top:10.55pt;width:450pt;height:12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">
                <v:textbox>
                  <w:txbxContent>
                    <w:p w14:paraId="240843DF" w14:textId="0F007790" w:rsidR="003C565B" w:rsidRPr="009E65CC" w:rsidRDefault="003C565B" w:rsidP="004771EC">
                      <w:pPr>
                        <w:spacing w:after="0" w:line="240" w:lineRule="auto"/>
                        <w:jc w:val="center"/>
                        <w:rPr>
                          <w:b/>
                          <w:sz w:val="28"/>
                          <w:szCs w:val="28"/>
                          <w:lang w:val="it-IT"/>
                        </w:rPr>
                      </w:pPr>
                      <w:r w:rsidRPr="009E65CC">
                        <w:rPr>
                          <w:b/>
                          <w:sz w:val="28"/>
                          <w:szCs w:val="28"/>
                          <w:lang w:val="it-IT"/>
                        </w:rPr>
                        <w:t xml:space="preserve">Prepared by: </w:t>
                      </w:r>
                    </w:p>
                    <w:p w14:paraId="71C947AE" w14:textId="4DEE4019" w:rsidR="003C565B" w:rsidRPr="00B67F5D" w:rsidRDefault="003C565B" w:rsidP="003115C8">
                      <w:pPr>
                        <w:spacing w:after="0" w:line="240" w:lineRule="auto"/>
                        <w:jc w:val="center"/>
                        <w:rPr>
                          <w:b/>
                          <w:sz w:val="28"/>
                          <w:szCs w:val="28"/>
                          <w:lang w:val="it-IT"/>
                        </w:rPr>
                      </w:pPr>
                      <w:r w:rsidRPr="003115C8">
                        <w:rPr>
                          <w:b/>
                          <w:sz w:val="28"/>
                          <w:szCs w:val="28"/>
                          <w:lang w:val="it-IT"/>
                        </w:rPr>
                        <w:t xml:space="preserve"> </w:t>
                      </w:r>
                      <w:r w:rsidRPr="00B67F5D">
                        <w:rPr>
                          <w:b/>
                          <w:sz w:val="28"/>
                          <w:szCs w:val="28"/>
                          <w:lang w:val="it-IT"/>
                        </w:rPr>
                        <w:t>Massimiliano Amarone,</w:t>
                      </w:r>
                    </w:p>
                    <w:p w14:paraId="54EE601E" w14:textId="74ECC385" w:rsidR="003C565B" w:rsidRPr="003115C8" w:rsidRDefault="003C565B" w:rsidP="004771EC">
                      <w:pPr>
                        <w:spacing w:after="0" w:line="240" w:lineRule="auto"/>
                        <w:jc w:val="center"/>
                        <w:rPr>
                          <w:b/>
                          <w:sz w:val="28"/>
                          <w:szCs w:val="28"/>
                          <w:lang w:val="it-IT"/>
                        </w:rPr>
                      </w:pPr>
                      <w:r w:rsidRPr="00B67F5D">
                        <w:rPr>
                          <w:b/>
                          <w:sz w:val="28"/>
                          <w:szCs w:val="28"/>
                          <w:lang w:val="it-IT"/>
                        </w:rPr>
                        <w:t>Domenico Aprile, Diego Chianella, Annalisa Lucarelli and Marina Sorrentino</w:t>
                      </w:r>
                    </w:p>
                    <w:p w14:paraId="22798CD5" w14:textId="2C1C9A8D" w:rsidR="003C565B" w:rsidRPr="003115C8" w:rsidRDefault="003C565B" w:rsidP="004771EC">
                      <w:pPr>
                        <w:spacing w:after="0" w:line="240" w:lineRule="auto"/>
                        <w:jc w:val="center"/>
                        <w:rPr>
                          <w:b/>
                          <w:sz w:val="28"/>
                          <w:szCs w:val="28"/>
                          <w:lang w:val="it-IT"/>
                        </w:rPr>
                      </w:pPr>
                    </w:p>
                    <w:p w14:paraId="6061DE86" w14:textId="25A2A993" w:rsidR="003C565B" w:rsidRPr="003115C8" w:rsidRDefault="003C565B" w:rsidP="00EC79CE">
                      <w:pPr>
                        <w:spacing w:after="0" w:line="240" w:lineRule="auto"/>
                        <w:rPr>
                          <w:b/>
                          <w:sz w:val="28"/>
                          <w:szCs w:val="28"/>
                          <w:lang w:val="it-IT"/>
                        </w:rPr>
                      </w:pPr>
                    </w:p>
                    <w:p w14:paraId="1055DAF5" w14:textId="0D4357EF" w:rsidR="003C565B" w:rsidRPr="003115C8" w:rsidRDefault="003C565B" w:rsidP="003115C8">
                      <w:pPr>
                        <w:spacing w:after="0" w:line="240" w:lineRule="auto"/>
                        <w:rPr>
                          <w:lang w:val="en-GB"/>
                        </w:rPr>
                      </w:pPr>
                      <w:r w:rsidRPr="003115C8">
                        <w:rPr>
                          <w:b/>
                          <w:sz w:val="28"/>
                          <w:szCs w:val="28"/>
                          <w:lang w:val="en-GB"/>
                        </w:rPr>
                        <w:t xml:space="preserve">Date of present version: </w:t>
                      </w:r>
                      <w:r>
                        <w:rPr>
                          <w:b/>
                          <w:sz w:val="28"/>
                          <w:szCs w:val="28"/>
                          <w:lang w:val="en-GB"/>
                        </w:rPr>
                        <w:t>September</w:t>
                      </w:r>
                      <w:r w:rsidRPr="003115C8">
                        <w:rPr>
                          <w:b/>
                          <w:sz w:val="28"/>
                          <w:szCs w:val="28"/>
                          <w:lang w:val="en-GB"/>
                        </w:rPr>
                        <w:t xml:space="preserve"> 2020</w:t>
                      </w:r>
                    </w:p>
                  </w:txbxContent>
                </v:textbox>
                <w10:wrap anchorx="margin"/>
              </v:shape>
            </w:pict>
          </mc:Fallback>
        </mc:AlternateContent>
      </w:r>
    </w:p>
    <w:p w14:paraId="238FA386" w14:textId="77777777" w:rsidR="006D1929" w:rsidRPr="00BE49A6" w:rsidRDefault="006D1929" w:rsidP="006D1929">
      <w:pPr>
        <w:ind w:left="720"/>
        <w:jc w:val="both"/>
        <w:rPr>
          <w:rFonts w:asciiTheme="minorHAnsi" w:hAnsiTheme="minorHAnsi"/>
          <w:lang w:val="en-GB"/>
        </w:rPr>
      </w:pPr>
    </w:p>
    <w:p w14:paraId="588106CA" w14:textId="77777777" w:rsidR="006D1929" w:rsidRPr="00BE49A6" w:rsidRDefault="006D1929" w:rsidP="006D1929">
      <w:pPr>
        <w:rPr>
          <w:lang w:val="en-GB"/>
        </w:rPr>
      </w:pPr>
    </w:p>
    <w:p w14:paraId="68EE4A09" w14:textId="77777777" w:rsidR="006D1929" w:rsidRPr="00BE49A6" w:rsidRDefault="006D1929" w:rsidP="006D1929">
      <w:pPr>
        <w:spacing w:after="0"/>
        <w:rPr>
          <w:lang w:val="en-GB"/>
        </w:rPr>
      </w:pPr>
    </w:p>
    <w:p w14:paraId="189B2AEA" w14:textId="77777777" w:rsidR="006D1929" w:rsidRPr="00BE49A6" w:rsidRDefault="006D1929" w:rsidP="006D1929">
      <w:pPr>
        <w:spacing w:after="0"/>
        <w:rPr>
          <w:lang w:val="en-GB"/>
        </w:rPr>
      </w:pPr>
      <w:r w:rsidRPr="00BE49A6">
        <w:rPr>
          <w:lang w:val="en-GB"/>
        </w:rPr>
        <w:tab/>
      </w:r>
    </w:p>
    <w:p w14:paraId="13CA1F37" w14:textId="77777777" w:rsidR="006D1929" w:rsidRPr="00BE49A6" w:rsidRDefault="006D1929" w:rsidP="006D1929">
      <w:pPr>
        <w:spacing w:after="0"/>
        <w:rPr>
          <w:lang w:val="en-GB"/>
        </w:rPr>
      </w:pPr>
    </w:p>
    <w:p w14:paraId="4C1C2A0A" w14:textId="77777777" w:rsidR="004771EC" w:rsidRPr="00BE49A6" w:rsidRDefault="004771EC" w:rsidP="006D1929">
      <w:pPr>
        <w:spacing w:after="0"/>
        <w:rPr>
          <w:lang w:val="en-GB"/>
        </w:rPr>
      </w:pPr>
    </w:p>
    <w:p w14:paraId="6F85B026" w14:textId="77777777" w:rsidR="004771EC" w:rsidRPr="00BE49A6" w:rsidRDefault="004771EC" w:rsidP="006D1929">
      <w:pPr>
        <w:spacing w:after="0"/>
        <w:rPr>
          <w:lang w:val="en-GB"/>
        </w:rPr>
      </w:pPr>
    </w:p>
    <w:p w14:paraId="76C39EEF" w14:textId="4F76D36F" w:rsidR="004771EC" w:rsidRDefault="004771EC" w:rsidP="006D1929">
      <w:pPr>
        <w:spacing w:after="0"/>
        <w:rPr>
          <w:lang w:val="en-GB"/>
        </w:rPr>
      </w:pPr>
    </w:p>
    <w:p w14:paraId="738DD0FA" w14:textId="77777777" w:rsidR="006D1929" w:rsidRPr="00BE49A6" w:rsidRDefault="006D1929" w:rsidP="006D1929">
      <w:pPr>
        <w:spacing w:after="0"/>
        <w:rPr>
          <w:lang w:val="en-GB"/>
        </w:rPr>
      </w:pPr>
      <w:r w:rsidRPr="00BE49A6">
        <w:rPr>
          <w:lang w:val="en-GB"/>
        </w:rPr>
        <w:t>Workpackage Leader:</w:t>
      </w:r>
    </w:p>
    <w:p w14:paraId="2296EC80" w14:textId="2DB8FBEF" w:rsidR="006D1929" w:rsidRPr="00BE49A6" w:rsidRDefault="000E66F6" w:rsidP="006D1929">
      <w:pPr>
        <w:spacing w:after="0"/>
        <w:ind w:firstLine="708"/>
        <w:rPr>
          <w:lang w:val="en-GB"/>
        </w:rPr>
      </w:pPr>
      <w:r w:rsidRPr="00BE49A6">
        <w:rPr>
          <w:lang w:val="en-GB"/>
        </w:rPr>
        <w:t>Tomaž Špeh (SURS, SI)</w:t>
      </w:r>
    </w:p>
    <w:p w14:paraId="747895FD" w14:textId="77777777" w:rsidR="000D2F34" w:rsidRPr="00BE49A6" w:rsidRDefault="006D1929" w:rsidP="000E66F6">
      <w:pPr>
        <w:spacing w:after="0"/>
        <w:ind w:firstLine="708"/>
        <w:rPr>
          <w:lang w:val="en-GB"/>
        </w:rPr>
      </w:pPr>
      <w:r w:rsidRPr="00BE49A6">
        <w:rPr>
          <w:lang w:val="en-GB"/>
        </w:rPr>
        <w:t>e-mail address</w:t>
      </w:r>
      <w:r w:rsidR="004771EC" w:rsidRPr="00BE49A6">
        <w:rPr>
          <w:lang w:val="en-GB"/>
        </w:rPr>
        <w:t xml:space="preserve">: </w:t>
      </w:r>
      <w:r w:rsidR="000E66F6" w:rsidRPr="00BE49A6">
        <w:rPr>
          <w:lang w:val="en-GB"/>
        </w:rPr>
        <w:t>tomaz.speh@gov.si</w:t>
      </w:r>
      <w:r w:rsidRPr="00BE49A6">
        <w:rPr>
          <w:lang w:val="en-GB"/>
        </w:rPr>
        <w:tab/>
      </w:r>
    </w:p>
    <w:p w14:paraId="714E90D3" w14:textId="2433DB80" w:rsidR="006D1929" w:rsidRPr="00BE49A6" w:rsidRDefault="006D1929" w:rsidP="000E66F6">
      <w:pPr>
        <w:spacing w:after="0"/>
        <w:ind w:firstLine="708"/>
        <w:rPr>
          <w:lang w:val="en-GB"/>
        </w:rPr>
      </w:pPr>
      <w:r w:rsidRPr="00BE49A6">
        <w:rPr>
          <w:lang w:val="en-GB"/>
        </w:rPr>
        <w:t>mobile phone: +</w:t>
      </w:r>
      <w:r w:rsidR="000E66F6" w:rsidRPr="00BE49A6">
        <w:rPr>
          <w:lang w:val="en-GB"/>
        </w:rPr>
        <w:t>38651672116</w:t>
      </w:r>
    </w:p>
    <w:p w14:paraId="08698B2C" w14:textId="299898BB" w:rsidR="00456F0B" w:rsidRPr="00805DC2" w:rsidRDefault="004771EC" w:rsidP="004518FE">
      <w:pPr>
        <w:pStyle w:val="Titolo1"/>
        <w:rPr>
          <w:b/>
          <w:bCs/>
          <w:lang w:val="en-GB"/>
        </w:rPr>
      </w:pPr>
      <w:r w:rsidRPr="00BE49A6">
        <w:rPr>
          <w:lang w:val="en-GB"/>
        </w:rPr>
        <w:br w:type="page"/>
      </w:r>
      <w:bookmarkStart w:id="1" w:name="_Toc20154665"/>
      <w:r w:rsidR="00DB315A" w:rsidRPr="00DB315A">
        <w:rPr>
          <w:b/>
          <w:bCs/>
          <w:lang w:val="en-GB"/>
        </w:rPr>
        <w:lastRenderedPageBreak/>
        <w:t>Supplementary indicators for official statistics from OJAs</w:t>
      </w:r>
      <w:r w:rsidR="00C7588A">
        <w:rPr>
          <w:b/>
          <w:bCs/>
          <w:lang w:val="en-GB"/>
        </w:rPr>
        <w:t>: the Italian case</w:t>
      </w:r>
    </w:p>
    <w:p w14:paraId="0DAEB3B8" w14:textId="56FA3ADE" w:rsidR="00DA7F54" w:rsidRDefault="00294A5F" w:rsidP="00484FBA">
      <w:pPr>
        <w:jc w:val="both"/>
        <w:rPr>
          <w:rFonts w:ascii="Segoe UI" w:hAnsi="Segoe UI" w:cs="Segoe UI"/>
          <w:color w:val="172B4D"/>
          <w:sz w:val="21"/>
          <w:szCs w:val="21"/>
          <w:lang w:val="en-US"/>
        </w:rPr>
      </w:pPr>
      <w:r w:rsidRPr="00DA7F54">
        <w:rPr>
          <w:rFonts w:ascii="Segoe UI" w:hAnsi="Segoe UI" w:cs="Segoe UI"/>
          <w:color w:val="172B4D"/>
          <w:sz w:val="21"/>
          <w:szCs w:val="21"/>
          <w:lang w:val="en-US"/>
        </w:rPr>
        <w:t>OJAs could offer a significant enrichment for the official job vacancy indicator</w:t>
      </w:r>
      <w:r w:rsidR="00DA7F54">
        <w:rPr>
          <w:rFonts w:ascii="Segoe UI" w:hAnsi="Segoe UI" w:cs="Segoe UI"/>
          <w:color w:val="172B4D"/>
          <w:sz w:val="21"/>
          <w:szCs w:val="21"/>
          <w:lang w:val="en-US"/>
        </w:rPr>
        <w:t xml:space="preserve"> </w:t>
      </w:r>
      <w:r w:rsidR="00DA7F54" w:rsidRPr="00DA7F54">
        <w:rPr>
          <w:rFonts w:ascii="Segoe UI" w:hAnsi="Segoe UI" w:cs="Segoe UI"/>
          <w:color w:val="172B4D"/>
          <w:sz w:val="21"/>
          <w:szCs w:val="21"/>
          <w:lang w:val="en-US"/>
        </w:rPr>
        <w:t>required by EU Regulations</w:t>
      </w:r>
      <w:r w:rsidRPr="00DA7F54">
        <w:rPr>
          <w:rFonts w:ascii="Segoe UI" w:hAnsi="Segoe UI" w:cs="Segoe UI"/>
          <w:color w:val="172B4D"/>
          <w:sz w:val="21"/>
          <w:szCs w:val="21"/>
          <w:lang w:val="en-US"/>
        </w:rPr>
        <w:t xml:space="preserve">, </w:t>
      </w:r>
      <w:r w:rsidR="00DA7F54">
        <w:rPr>
          <w:rFonts w:ascii="Segoe UI" w:hAnsi="Segoe UI" w:cs="Segoe UI"/>
          <w:color w:val="172B4D"/>
          <w:sz w:val="21"/>
          <w:szCs w:val="21"/>
          <w:lang w:val="en-US"/>
        </w:rPr>
        <w:t>d</w:t>
      </w:r>
      <w:r w:rsidR="00DA7F54" w:rsidRPr="00DA7F54">
        <w:rPr>
          <w:rFonts w:ascii="Segoe UI" w:hAnsi="Segoe UI" w:cs="Segoe UI"/>
          <w:color w:val="172B4D"/>
          <w:sz w:val="21"/>
          <w:szCs w:val="21"/>
          <w:lang w:val="en-US"/>
        </w:rPr>
        <w:t>espite their coverage and representativeness limits</w:t>
      </w:r>
      <w:r w:rsidR="00DA7F54">
        <w:rPr>
          <w:rFonts w:ascii="Segoe UI" w:hAnsi="Segoe UI" w:cs="Segoe UI"/>
          <w:color w:val="172B4D"/>
          <w:sz w:val="21"/>
          <w:szCs w:val="21"/>
          <w:lang w:val="en-US"/>
        </w:rPr>
        <w:t>.</w:t>
      </w:r>
    </w:p>
    <w:p w14:paraId="7E85D225" w14:textId="324D8E81" w:rsidR="00AA0F2C" w:rsidRDefault="00AA0F2C" w:rsidP="00EE6CE6">
      <w:pPr>
        <w:jc w:val="both"/>
        <w:rPr>
          <w:rFonts w:ascii="Segoe UI" w:hAnsi="Segoe UI" w:cs="Segoe UI"/>
          <w:color w:val="172B4D"/>
          <w:sz w:val="21"/>
          <w:szCs w:val="21"/>
          <w:lang w:val="en-US"/>
        </w:rPr>
      </w:pPr>
      <w:r w:rsidRPr="00AA0F2C">
        <w:rPr>
          <w:rFonts w:ascii="Segoe UI" w:hAnsi="Segoe UI" w:cs="Segoe UI"/>
          <w:color w:val="172B4D"/>
          <w:sz w:val="21"/>
          <w:szCs w:val="21"/>
          <w:lang w:val="en-US"/>
        </w:rPr>
        <w:t>The official statistics on job vacancies as required by the EU Regulations and regularly transmitted to Eurostat by Member States</w:t>
      </w:r>
      <w:r w:rsidR="00D9690B">
        <w:rPr>
          <w:rFonts w:ascii="Segoe UI" w:hAnsi="Segoe UI" w:cs="Segoe UI"/>
          <w:color w:val="172B4D"/>
          <w:sz w:val="21"/>
          <w:szCs w:val="21"/>
          <w:lang w:val="en-US"/>
        </w:rPr>
        <w:t>,</w:t>
      </w:r>
      <w:r w:rsidRPr="00AA0F2C">
        <w:rPr>
          <w:rFonts w:ascii="Segoe UI" w:hAnsi="Segoe UI" w:cs="Segoe UI"/>
          <w:color w:val="172B4D"/>
          <w:sz w:val="21"/>
          <w:szCs w:val="21"/>
          <w:lang w:val="en-US"/>
        </w:rPr>
        <w:t xml:space="preserve"> regards the national job vacancy rate</w:t>
      </w:r>
      <w:r>
        <w:rPr>
          <w:rFonts w:ascii="Segoe UI" w:hAnsi="Segoe UI" w:cs="Segoe UI"/>
          <w:color w:val="172B4D"/>
          <w:sz w:val="21"/>
          <w:szCs w:val="21"/>
          <w:lang w:val="en-US"/>
        </w:rPr>
        <w:t xml:space="preserve"> (defined as the ratio between the job vacancies and the sum of vacant and occupied job positions)</w:t>
      </w:r>
      <w:r w:rsidRPr="00AA0F2C">
        <w:rPr>
          <w:rFonts w:ascii="Segoe UI" w:hAnsi="Segoe UI" w:cs="Segoe UI"/>
          <w:color w:val="172B4D"/>
          <w:sz w:val="21"/>
          <w:szCs w:val="21"/>
          <w:lang w:val="en-US"/>
        </w:rPr>
        <w:t xml:space="preserve">, disaggregated by </w:t>
      </w:r>
      <w:r w:rsidRPr="00EE6CE6">
        <w:rPr>
          <w:rFonts w:ascii="Segoe UI" w:hAnsi="Segoe UI" w:cs="Segoe UI"/>
          <w:color w:val="172B4D"/>
          <w:sz w:val="21"/>
          <w:szCs w:val="21"/>
          <w:lang w:val="en-US"/>
        </w:rPr>
        <w:t>NACE Rev. 2 economic activity section</w:t>
      </w:r>
      <w:r>
        <w:rPr>
          <w:rFonts w:ascii="Segoe UI" w:hAnsi="Segoe UI" w:cs="Segoe UI"/>
          <w:color w:val="172B4D"/>
          <w:sz w:val="21"/>
          <w:szCs w:val="21"/>
          <w:lang w:val="en-US"/>
        </w:rPr>
        <w:t>s</w:t>
      </w:r>
      <w:r w:rsidRPr="00DA7F54">
        <w:rPr>
          <w:rFonts w:ascii="Segoe UI" w:hAnsi="Segoe UI" w:cs="Segoe UI"/>
          <w:color w:val="172B4D"/>
          <w:sz w:val="21"/>
          <w:szCs w:val="21"/>
          <w:lang w:val="en-US"/>
        </w:rPr>
        <w:t xml:space="preserve"> </w:t>
      </w:r>
      <w:r w:rsidRPr="00AA0F2C">
        <w:rPr>
          <w:rFonts w:ascii="Segoe UI" w:hAnsi="Segoe UI" w:cs="Segoe UI"/>
          <w:color w:val="172B4D"/>
          <w:sz w:val="21"/>
          <w:szCs w:val="21"/>
          <w:lang w:val="en-US"/>
        </w:rPr>
        <w:t xml:space="preserve">and on a quarterly basis.     </w:t>
      </w:r>
    </w:p>
    <w:p w14:paraId="030B626B" w14:textId="445F7CF8" w:rsidR="00134C09" w:rsidRDefault="00134C09" w:rsidP="00EE6CE6">
      <w:pPr>
        <w:jc w:val="both"/>
        <w:rPr>
          <w:rFonts w:ascii="Segoe UI" w:hAnsi="Segoe UI" w:cs="Segoe UI"/>
          <w:color w:val="172B4D"/>
          <w:sz w:val="21"/>
          <w:szCs w:val="21"/>
          <w:lang w:val="en-US"/>
        </w:rPr>
      </w:pPr>
      <w:r>
        <w:rPr>
          <w:rFonts w:ascii="Segoe UI" w:hAnsi="Segoe UI" w:cs="Segoe UI"/>
          <w:color w:val="172B4D"/>
          <w:sz w:val="21"/>
          <w:szCs w:val="21"/>
          <w:lang w:val="en-US"/>
        </w:rPr>
        <w:t xml:space="preserve">The official MS job vacancy rates are not </w:t>
      </w:r>
      <w:r w:rsidR="00EE6CE6">
        <w:rPr>
          <w:rFonts w:ascii="Segoe UI" w:hAnsi="Segoe UI" w:cs="Segoe UI"/>
          <w:color w:val="172B4D"/>
          <w:sz w:val="21"/>
          <w:szCs w:val="21"/>
          <w:lang w:val="en-US"/>
        </w:rPr>
        <w:t xml:space="preserve">required by the Regulations </w:t>
      </w:r>
      <w:r w:rsidRPr="00134C09">
        <w:rPr>
          <w:rFonts w:ascii="Segoe UI" w:hAnsi="Segoe UI" w:cs="Segoe UI"/>
          <w:color w:val="172B4D"/>
          <w:sz w:val="21"/>
          <w:szCs w:val="21"/>
          <w:lang w:val="en-US"/>
        </w:rPr>
        <w:t xml:space="preserve">broken down by </w:t>
      </w:r>
      <w:r w:rsidR="00AA0F2C">
        <w:rPr>
          <w:rFonts w:ascii="Segoe UI" w:hAnsi="Segoe UI" w:cs="Segoe UI"/>
          <w:color w:val="172B4D"/>
          <w:sz w:val="21"/>
          <w:szCs w:val="21"/>
          <w:lang w:val="en-US"/>
        </w:rPr>
        <w:t>other</w:t>
      </w:r>
      <w:r>
        <w:rPr>
          <w:rFonts w:ascii="Segoe UI" w:hAnsi="Segoe UI" w:cs="Segoe UI"/>
          <w:color w:val="172B4D"/>
          <w:sz w:val="21"/>
          <w:szCs w:val="21"/>
          <w:lang w:val="en-US"/>
        </w:rPr>
        <w:t xml:space="preserve"> </w:t>
      </w:r>
      <w:r w:rsidRPr="00134C09">
        <w:rPr>
          <w:rFonts w:ascii="Segoe UI" w:hAnsi="Segoe UI" w:cs="Segoe UI"/>
          <w:color w:val="172B4D"/>
          <w:sz w:val="21"/>
          <w:szCs w:val="21"/>
          <w:lang w:val="en-US"/>
        </w:rPr>
        <w:t xml:space="preserve">characteristics of the vacant job position, such as the geographical area/region where the vacant post is located and the profession required. </w:t>
      </w:r>
    </w:p>
    <w:p w14:paraId="0EDD4446" w14:textId="3E793CFA" w:rsidR="00AA0F2C" w:rsidRDefault="00AA0F2C" w:rsidP="00EE6CE6">
      <w:pPr>
        <w:jc w:val="both"/>
        <w:rPr>
          <w:rFonts w:ascii="Segoe UI" w:hAnsi="Segoe UI" w:cs="Segoe UI"/>
          <w:color w:val="172B4D"/>
          <w:sz w:val="21"/>
          <w:szCs w:val="21"/>
          <w:lang w:val="en-US"/>
        </w:rPr>
      </w:pPr>
      <w:r w:rsidRPr="00AA0F2C">
        <w:rPr>
          <w:rFonts w:ascii="Segoe UI" w:hAnsi="Segoe UI" w:cs="Segoe UI"/>
          <w:color w:val="172B4D"/>
          <w:sz w:val="21"/>
          <w:szCs w:val="21"/>
          <w:lang w:val="en-US"/>
        </w:rPr>
        <w:t>However, these kind of characteristics are considered as particularly useful by current and actual stake-holders, and even if the production of job vacancy indicators broken down by these two characteristics is not required as obligatory by the current EU Regulations, Eurostat already invites Member States to disseminate and transmit these data. For some Member States these data are already available in the Eurostat online datawarehouse. Furthermore, the possibility to make obligatory the production of job vacancy statistics broken down by region and profession once a year in one of the survey waves should be discussed by the Task-force on the Review of EU legislation in the field of Business Based Labour Market Indicators (LMI), whose works are currently in progress.</w:t>
      </w:r>
    </w:p>
    <w:p w14:paraId="441DD0A9" w14:textId="127C4B64" w:rsidR="00E931DB" w:rsidRDefault="00E931DB" w:rsidP="00E931DB">
      <w:pPr>
        <w:jc w:val="both"/>
        <w:rPr>
          <w:rFonts w:ascii="Segoe UI" w:hAnsi="Segoe UI" w:cs="Segoe UI"/>
          <w:color w:val="172B4D"/>
          <w:sz w:val="21"/>
          <w:szCs w:val="21"/>
          <w:lang w:val="en-US"/>
        </w:rPr>
      </w:pPr>
      <w:r w:rsidRPr="008A46E2">
        <w:rPr>
          <w:rFonts w:ascii="Segoe UI" w:hAnsi="Segoe UI" w:cs="Segoe UI"/>
          <w:color w:val="172B4D"/>
          <w:sz w:val="21"/>
          <w:szCs w:val="21"/>
          <w:lang w:val="en-US"/>
        </w:rPr>
        <w:t>OJAs have the main advantage of providing information high detailed in terms of the characteristics of the job positions.</w:t>
      </w:r>
    </w:p>
    <w:p w14:paraId="1979A10D" w14:textId="4B28ADD4" w:rsidR="00E931DB" w:rsidRPr="00E931DB" w:rsidRDefault="00AA0F2C" w:rsidP="00E931DB">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Moreover,</w:t>
      </w:r>
      <w:r w:rsidR="00E931DB" w:rsidRPr="00E931DB">
        <w:rPr>
          <w:rFonts w:ascii="Segoe UI" w:hAnsi="Segoe UI" w:cs="Segoe UI"/>
          <w:color w:val="172B4D"/>
          <w:sz w:val="21"/>
          <w:szCs w:val="21"/>
          <w:lang w:val="en-US"/>
        </w:rPr>
        <w:t xml:space="preserve"> for</w:t>
      </w:r>
      <w:r w:rsidRPr="00E931DB">
        <w:rPr>
          <w:rFonts w:ascii="Segoe UI" w:hAnsi="Segoe UI" w:cs="Segoe UI"/>
          <w:color w:val="172B4D"/>
          <w:sz w:val="21"/>
          <w:szCs w:val="21"/>
          <w:lang w:val="en-US"/>
        </w:rPr>
        <w:t xml:space="preserve"> the</w:t>
      </w:r>
      <w:r w:rsidR="00E931DB" w:rsidRPr="00E931DB">
        <w:rPr>
          <w:rFonts w:ascii="Segoe UI" w:hAnsi="Segoe UI" w:cs="Segoe UI"/>
          <w:color w:val="172B4D"/>
          <w:sz w:val="21"/>
          <w:szCs w:val="21"/>
          <w:lang w:val="en-US"/>
        </w:rPr>
        <w:t xml:space="preserve"> production of</w:t>
      </w:r>
      <w:r w:rsidRPr="00E931DB">
        <w:rPr>
          <w:rFonts w:ascii="Segoe UI" w:hAnsi="Segoe UI" w:cs="Segoe UI"/>
          <w:color w:val="172B4D"/>
          <w:sz w:val="21"/>
          <w:szCs w:val="21"/>
          <w:lang w:val="en-US"/>
        </w:rPr>
        <w:t xml:space="preserve"> job vacancy rate the majority of EU Member States use either a representative average of </w:t>
      </w:r>
      <w:r w:rsidR="00E931DB" w:rsidRPr="00E931DB">
        <w:rPr>
          <w:rFonts w:ascii="Segoe UI" w:hAnsi="Segoe UI" w:cs="Segoe UI"/>
          <w:color w:val="172B4D"/>
          <w:sz w:val="21"/>
          <w:szCs w:val="21"/>
          <w:lang w:val="en-US"/>
        </w:rPr>
        <w:t>job vacancies</w:t>
      </w:r>
      <w:r w:rsidRPr="00E931DB">
        <w:rPr>
          <w:rFonts w:ascii="Segoe UI" w:hAnsi="Segoe UI" w:cs="Segoe UI"/>
          <w:color w:val="172B4D"/>
          <w:sz w:val="21"/>
          <w:szCs w:val="21"/>
          <w:lang w:val="en-US"/>
        </w:rPr>
        <w:t xml:space="preserve"> collected </w:t>
      </w:r>
      <w:r w:rsidR="00E931DB" w:rsidRPr="00E931DB">
        <w:rPr>
          <w:rFonts w:ascii="Segoe UI" w:hAnsi="Segoe UI" w:cs="Segoe UI"/>
          <w:color w:val="172B4D"/>
          <w:sz w:val="21"/>
          <w:szCs w:val="21"/>
          <w:lang w:val="en-US"/>
        </w:rPr>
        <w:t>at</w:t>
      </w:r>
      <w:r w:rsidRPr="00E931DB">
        <w:rPr>
          <w:rFonts w:ascii="Segoe UI" w:hAnsi="Segoe UI" w:cs="Segoe UI"/>
          <w:color w:val="172B4D"/>
          <w:sz w:val="21"/>
          <w:szCs w:val="21"/>
          <w:lang w:val="en-US"/>
        </w:rPr>
        <w:t xml:space="preserve"> specific reference dates during the quarter or a single specific reference date. </w:t>
      </w:r>
    </w:p>
    <w:p w14:paraId="0835439C" w14:textId="3BB3CD25" w:rsidR="00E931DB" w:rsidRPr="00E931DB" w:rsidRDefault="00E931DB" w:rsidP="00E931DB">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 xml:space="preserve">The EU Regulations on job vacancy statistics consider the collection on a continuous basis and the average based on specific reference dates as the preferred methods to have an information on the vacant job positions representative for the quarter as a whole: “MS shall provide data on the number of job vacancies and the number of occupied posts that can be considered representative for the reference quarter. The preferred methods to achieve this are data collection on a continuous basis or the calculation of a representative average of data collected for specific reference dates” (EC Reg. No 19/2009 implementing the JV frame Regulation EC No 453/2008). </w:t>
      </w:r>
    </w:p>
    <w:p w14:paraId="120BC6CF" w14:textId="58D90AA1" w:rsidR="00AA0F2C" w:rsidRPr="00E931DB" w:rsidRDefault="00AA0F2C" w:rsidP="00E931DB">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A continuous collection method implies a significant improvement in the collection costs and in the response burden for the enterprises. From the enterprise side in fact, it would imply having a kind of register in which keeping the account of all vacancies opened and closed during the reference period.</w:t>
      </w:r>
    </w:p>
    <w:p w14:paraId="3C249E0F" w14:textId="77777777" w:rsidR="00AA0F2C" w:rsidRPr="00E931DB" w:rsidRDefault="00AA0F2C" w:rsidP="00E931DB">
      <w:pPr>
        <w:jc w:val="both"/>
        <w:rPr>
          <w:rFonts w:ascii="Segoe UI" w:hAnsi="Segoe UI" w:cs="Segoe UI"/>
          <w:color w:val="172B4D"/>
          <w:sz w:val="21"/>
          <w:szCs w:val="21"/>
          <w:lang w:val="en-US"/>
        </w:rPr>
      </w:pPr>
    </w:p>
    <w:p w14:paraId="0CD1C4FE" w14:textId="787E59A4" w:rsidR="00D44A90" w:rsidRPr="00D44A90" w:rsidRDefault="008A46E2" w:rsidP="00D44A90">
      <w:pPr>
        <w:jc w:val="both"/>
        <w:rPr>
          <w:rFonts w:ascii="Segoe UI" w:hAnsi="Segoe UI" w:cs="Segoe UI"/>
          <w:color w:val="172B4D"/>
          <w:sz w:val="21"/>
          <w:szCs w:val="21"/>
          <w:lang w:val="en-US"/>
        </w:rPr>
      </w:pPr>
      <w:r w:rsidRPr="008A46E2">
        <w:rPr>
          <w:rFonts w:ascii="Segoe UI" w:hAnsi="Segoe UI" w:cs="Segoe UI"/>
          <w:color w:val="172B4D"/>
          <w:sz w:val="21"/>
          <w:szCs w:val="21"/>
          <w:lang w:val="en-US"/>
        </w:rPr>
        <w:lastRenderedPageBreak/>
        <w:t xml:space="preserve">OJAs are available </w:t>
      </w:r>
      <w:r w:rsidR="00305E24" w:rsidRPr="008A46E2">
        <w:rPr>
          <w:rFonts w:ascii="Segoe UI" w:hAnsi="Segoe UI" w:cs="Segoe UI"/>
          <w:color w:val="172B4D"/>
          <w:sz w:val="21"/>
          <w:szCs w:val="21"/>
          <w:lang w:val="en-US"/>
        </w:rPr>
        <w:t xml:space="preserve">on a daily, weekly </w:t>
      </w:r>
      <w:r w:rsidR="001F502D" w:rsidRPr="008A46E2">
        <w:rPr>
          <w:rFonts w:ascii="Segoe UI" w:hAnsi="Segoe UI" w:cs="Segoe UI"/>
          <w:color w:val="172B4D"/>
          <w:sz w:val="21"/>
          <w:szCs w:val="21"/>
          <w:lang w:val="en-US"/>
        </w:rPr>
        <w:t xml:space="preserve">and </w:t>
      </w:r>
      <w:r w:rsidR="00305E24" w:rsidRPr="008A46E2">
        <w:rPr>
          <w:rFonts w:ascii="Segoe UI" w:hAnsi="Segoe UI" w:cs="Segoe UI"/>
          <w:color w:val="172B4D"/>
          <w:sz w:val="21"/>
          <w:szCs w:val="21"/>
          <w:lang w:val="en-US"/>
        </w:rPr>
        <w:t>monthly basis</w:t>
      </w:r>
      <w:r>
        <w:rPr>
          <w:rFonts w:ascii="Segoe UI" w:hAnsi="Segoe UI" w:cs="Segoe UI"/>
          <w:color w:val="172B4D"/>
          <w:sz w:val="21"/>
          <w:szCs w:val="21"/>
          <w:lang w:val="en-US"/>
        </w:rPr>
        <w:t xml:space="preserve">, </w:t>
      </w:r>
      <w:r w:rsidR="00F214DC" w:rsidRPr="008A46E2">
        <w:rPr>
          <w:rFonts w:ascii="Segoe UI" w:hAnsi="Segoe UI" w:cs="Segoe UI"/>
          <w:color w:val="172B4D"/>
          <w:sz w:val="21"/>
          <w:szCs w:val="21"/>
          <w:lang w:val="en-US"/>
        </w:rPr>
        <w:t xml:space="preserve">not only </w:t>
      </w:r>
      <w:r w:rsidR="00F214DC">
        <w:rPr>
          <w:rFonts w:ascii="Segoe UI" w:hAnsi="Segoe UI" w:cs="Segoe UI"/>
          <w:color w:val="172B4D"/>
          <w:sz w:val="21"/>
          <w:szCs w:val="21"/>
          <w:lang w:val="en-US"/>
        </w:rPr>
        <w:t>at one or at more</w:t>
      </w:r>
      <w:r w:rsidR="00E931DB">
        <w:rPr>
          <w:rFonts w:ascii="Segoe UI" w:hAnsi="Segoe UI" w:cs="Segoe UI"/>
          <w:color w:val="172B4D"/>
          <w:sz w:val="21"/>
          <w:szCs w:val="21"/>
          <w:lang w:val="en-US"/>
        </w:rPr>
        <w:t xml:space="preserve"> than one </w:t>
      </w:r>
      <w:r w:rsidR="00F214DC">
        <w:rPr>
          <w:rFonts w:ascii="Segoe UI" w:hAnsi="Segoe UI" w:cs="Segoe UI"/>
          <w:color w:val="172B4D"/>
          <w:sz w:val="21"/>
          <w:szCs w:val="21"/>
          <w:lang w:val="en-US"/>
        </w:rPr>
        <w:t xml:space="preserve">specific </w:t>
      </w:r>
      <w:r w:rsidR="00F214DC" w:rsidRPr="008A46E2">
        <w:rPr>
          <w:rFonts w:ascii="Segoe UI" w:hAnsi="Segoe UI" w:cs="Segoe UI"/>
          <w:color w:val="172B4D"/>
          <w:sz w:val="21"/>
          <w:szCs w:val="21"/>
          <w:lang w:val="en-US"/>
        </w:rPr>
        <w:t>reference</w:t>
      </w:r>
      <w:r w:rsidR="00E931DB">
        <w:rPr>
          <w:rFonts w:ascii="Segoe UI" w:hAnsi="Segoe UI" w:cs="Segoe UI"/>
          <w:color w:val="172B4D"/>
          <w:sz w:val="21"/>
          <w:szCs w:val="21"/>
          <w:lang w:val="en-US"/>
        </w:rPr>
        <w:t xml:space="preserve"> dates in </w:t>
      </w:r>
      <w:r w:rsidRPr="008A46E2">
        <w:rPr>
          <w:rFonts w:ascii="Segoe UI" w:hAnsi="Segoe UI" w:cs="Segoe UI"/>
          <w:color w:val="172B4D"/>
          <w:sz w:val="21"/>
          <w:szCs w:val="21"/>
          <w:lang w:val="en-US"/>
        </w:rPr>
        <w:t xml:space="preserve">quarter. </w:t>
      </w:r>
      <w:r w:rsidR="00D44A90">
        <w:rPr>
          <w:rFonts w:ascii="Segoe UI" w:hAnsi="Segoe UI" w:cs="Segoe UI"/>
          <w:color w:val="172B4D"/>
          <w:sz w:val="21"/>
          <w:szCs w:val="21"/>
          <w:lang w:val="en-US"/>
        </w:rPr>
        <w:t>They</w:t>
      </w:r>
      <w:r w:rsidR="00D44A90" w:rsidRPr="00D44A90">
        <w:rPr>
          <w:rFonts w:ascii="Segoe UI" w:hAnsi="Segoe UI" w:cs="Segoe UI"/>
          <w:color w:val="172B4D"/>
          <w:sz w:val="21"/>
          <w:szCs w:val="21"/>
          <w:lang w:val="en-US"/>
        </w:rPr>
        <w:t xml:space="preserve"> have the advantage of capturing the vacancy </w:t>
      </w:r>
      <w:r w:rsidR="00F214DC" w:rsidRPr="00D44A90">
        <w:rPr>
          <w:rFonts w:ascii="Segoe UI" w:hAnsi="Segoe UI" w:cs="Segoe UI"/>
          <w:color w:val="172B4D"/>
          <w:sz w:val="21"/>
          <w:szCs w:val="21"/>
          <w:lang w:val="en-US"/>
        </w:rPr>
        <w:t>flows</w:t>
      </w:r>
      <w:r w:rsidR="00F214DC">
        <w:rPr>
          <w:rFonts w:ascii="Segoe UI" w:hAnsi="Segoe UI" w:cs="Segoe UI"/>
          <w:color w:val="172B4D"/>
          <w:sz w:val="21"/>
          <w:szCs w:val="21"/>
          <w:lang w:val="en-US"/>
        </w:rPr>
        <w:t xml:space="preserve"> that</w:t>
      </w:r>
      <w:r w:rsidR="00D44A90" w:rsidRPr="00D44A90">
        <w:rPr>
          <w:rFonts w:ascii="Segoe UI" w:hAnsi="Segoe UI" w:cs="Segoe UI"/>
          <w:color w:val="172B4D"/>
          <w:sz w:val="21"/>
          <w:szCs w:val="21"/>
          <w:lang w:val="en-US"/>
        </w:rPr>
        <w:t xml:space="preserve"> is </w:t>
      </w:r>
      <w:r w:rsidR="00D44A90">
        <w:rPr>
          <w:rFonts w:ascii="Segoe UI" w:hAnsi="Segoe UI" w:cs="Segoe UI"/>
          <w:color w:val="172B4D"/>
          <w:sz w:val="21"/>
          <w:szCs w:val="21"/>
          <w:lang w:val="en-US"/>
        </w:rPr>
        <w:t xml:space="preserve">all </w:t>
      </w:r>
      <w:r w:rsidR="00D44A90" w:rsidRPr="00D44A90">
        <w:rPr>
          <w:rFonts w:ascii="Segoe UI" w:hAnsi="Segoe UI" w:cs="Segoe UI"/>
          <w:color w:val="172B4D"/>
          <w:sz w:val="21"/>
          <w:szCs w:val="21"/>
          <w:lang w:val="en-US"/>
        </w:rPr>
        <w:t>the vacancies opened and closed during a reference period, instead of only the vacancy stock at specific reference dates.</w:t>
      </w:r>
    </w:p>
    <w:p w14:paraId="4E97DF9D" w14:textId="15370CC4" w:rsidR="00D44A90" w:rsidRDefault="00D44A90" w:rsidP="00D44A90">
      <w:pPr>
        <w:jc w:val="both"/>
        <w:rPr>
          <w:rFonts w:ascii="Segoe UI" w:hAnsi="Segoe UI" w:cs="Segoe UI"/>
          <w:color w:val="172B4D"/>
          <w:sz w:val="21"/>
          <w:szCs w:val="21"/>
          <w:lang w:val="en-US"/>
        </w:rPr>
      </w:pPr>
      <w:r w:rsidRPr="00D44A90">
        <w:rPr>
          <w:rFonts w:ascii="Segoe UI" w:hAnsi="Segoe UI" w:cs="Segoe UI"/>
          <w:color w:val="172B4D"/>
          <w:sz w:val="21"/>
          <w:szCs w:val="21"/>
          <w:lang w:val="en-US"/>
        </w:rPr>
        <w:t>The vacancy stocks takes only into account the vacancies that survived at a specific date, without reporting the</w:t>
      </w:r>
      <w:r>
        <w:rPr>
          <w:rFonts w:ascii="Segoe UI" w:hAnsi="Segoe UI" w:cs="Segoe UI"/>
          <w:color w:val="172B4D"/>
          <w:sz w:val="21"/>
          <w:szCs w:val="21"/>
          <w:lang w:val="en-US"/>
        </w:rPr>
        <w:t xml:space="preserve"> </w:t>
      </w:r>
      <w:r w:rsidRPr="00D44A90">
        <w:rPr>
          <w:rFonts w:ascii="Segoe UI" w:hAnsi="Segoe UI" w:cs="Segoe UI"/>
          <w:color w:val="172B4D"/>
          <w:sz w:val="21"/>
          <w:szCs w:val="21"/>
          <w:lang w:val="en-US"/>
        </w:rPr>
        <w:t>movements of vacancies before that date.</w:t>
      </w:r>
    </w:p>
    <w:p w14:paraId="072C0D8F" w14:textId="5DDEBC40" w:rsidR="00484FBA" w:rsidRDefault="00D44A90" w:rsidP="00E931DB">
      <w:pPr>
        <w:jc w:val="both"/>
        <w:rPr>
          <w:rFonts w:ascii="Segoe UI" w:hAnsi="Segoe UI" w:cs="Segoe UI"/>
          <w:color w:val="172B4D"/>
          <w:sz w:val="21"/>
          <w:szCs w:val="21"/>
          <w:lang w:val="en-US"/>
        </w:rPr>
      </w:pPr>
      <w:r>
        <w:rPr>
          <w:rFonts w:ascii="Segoe UI" w:hAnsi="Segoe UI" w:cs="Segoe UI"/>
          <w:color w:val="172B4D"/>
          <w:sz w:val="21"/>
          <w:szCs w:val="21"/>
          <w:lang w:val="en-US"/>
        </w:rPr>
        <w:t>A</w:t>
      </w:r>
      <w:r w:rsidR="008A46E2" w:rsidRPr="008A46E2">
        <w:rPr>
          <w:rFonts w:ascii="Segoe UI" w:hAnsi="Segoe UI" w:cs="Segoe UI"/>
          <w:color w:val="172B4D"/>
          <w:sz w:val="21"/>
          <w:szCs w:val="21"/>
          <w:lang w:val="en-US"/>
        </w:rPr>
        <w:t>dditional information at higher frequencies than those of the JVS can be derived from the OJAs and gives useful insights into the dynamics within the quarter of the labour demand expressed by the online recruitment process.</w:t>
      </w:r>
    </w:p>
    <w:p w14:paraId="3FF303FF" w14:textId="77777777" w:rsidR="00D9690B" w:rsidRDefault="00D9690B" w:rsidP="00E931DB">
      <w:pPr>
        <w:jc w:val="both"/>
        <w:rPr>
          <w:rFonts w:ascii="Segoe UI" w:hAnsi="Segoe UI" w:cs="Segoe UI"/>
          <w:color w:val="172B4D"/>
          <w:sz w:val="21"/>
          <w:szCs w:val="21"/>
          <w:lang w:val="en-US"/>
        </w:rPr>
      </w:pPr>
      <w:r>
        <w:rPr>
          <w:rFonts w:ascii="Segoe UI" w:hAnsi="Segoe UI" w:cs="Segoe UI"/>
          <w:color w:val="172B4D"/>
          <w:sz w:val="21"/>
          <w:szCs w:val="21"/>
          <w:lang w:val="en-US"/>
        </w:rPr>
        <w:t>T</w:t>
      </w:r>
      <w:r w:rsidR="00A3187D" w:rsidRPr="006C032C">
        <w:rPr>
          <w:rFonts w:ascii="Segoe UI" w:hAnsi="Segoe UI" w:cs="Segoe UI"/>
          <w:color w:val="172B4D"/>
          <w:sz w:val="21"/>
          <w:szCs w:val="21"/>
          <w:lang w:val="en-US"/>
        </w:rPr>
        <w:t>his annex</w:t>
      </w:r>
      <w:r>
        <w:rPr>
          <w:rFonts w:ascii="Segoe UI" w:hAnsi="Segoe UI" w:cs="Segoe UI"/>
          <w:color w:val="172B4D"/>
          <w:sz w:val="21"/>
          <w:szCs w:val="21"/>
          <w:lang w:val="en-US"/>
        </w:rPr>
        <w:t xml:space="preserve"> includes:</w:t>
      </w:r>
    </w:p>
    <w:p w14:paraId="3B590B95" w14:textId="4CF055DA" w:rsidR="00AA3EF4" w:rsidRPr="006C032C" w:rsidRDefault="00211C1C" w:rsidP="00D9690B">
      <w:pPr>
        <w:pStyle w:val="Paragrafoelenco"/>
        <w:numPr>
          <w:ilvl w:val="0"/>
          <w:numId w:val="29"/>
        </w:numPr>
        <w:shd w:val="clear" w:color="auto" w:fill="FFFFFF" w:themeFill="background1"/>
        <w:jc w:val="both"/>
        <w:rPr>
          <w:rFonts w:ascii="Segoe UI" w:hAnsi="Segoe UI" w:cs="Segoe UI"/>
          <w:color w:val="172B4D"/>
          <w:sz w:val="21"/>
          <w:szCs w:val="21"/>
          <w:lang w:val="en-US"/>
        </w:rPr>
      </w:pPr>
      <w:r w:rsidRPr="006C032C">
        <w:rPr>
          <w:rFonts w:ascii="Segoe UI" w:hAnsi="Segoe UI" w:cs="Segoe UI"/>
          <w:color w:val="172B4D"/>
          <w:sz w:val="21"/>
          <w:szCs w:val="21"/>
          <w:lang w:val="en-US"/>
        </w:rPr>
        <w:t>an explorative comparison</w:t>
      </w:r>
      <w:r w:rsidR="00443AB0" w:rsidRPr="006C032C">
        <w:rPr>
          <w:rFonts w:ascii="Segoe UI" w:hAnsi="Segoe UI" w:cs="Segoe UI"/>
          <w:color w:val="172B4D"/>
          <w:sz w:val="21"/>
          <w:szCs w:val="21"/>
          <w:lang w:val="en-US"/>
        </w:rPr>
        <w:t>,</w:t>
      </w:r>
      <w:r w:rsidRPr="006C032C">
        <w:rPr>
          <w:rFonts w:ascii="Segoe UI" w:hAnsi="Segoe UI" w:cs="Segoe UI"/>
          <w:color w:val="172B4D"/>
          <w:sz w:val="21"/>
          <w:szCs w:val="21"/>
          <w:lang w:val="en-US"/>
        </w:rPr>
        <w:t xml:space="preserve"> </w:t>
      </w:r>
      <w:r w:rsidR="00443AB0" w:rsidRPr="006C032C">
        <w:rPr>
          <w:rFonts w:ascii="Segoe UI" w:hAnsi="Segoe UI" w:cs="Segoe UI"/>
          <w:color w:val="172B4D"/>
          <w:sz w:val="21"/>
          <w:szCs w:val="21"/>
          <w:lang w:val="en-US"/>
        </w:rPr>
        <w:t xml:space="preserve">based on the Italian data, </w:t>
      </w:r>
      <w:r w:rsidRPr="006C032C">
        <w:rPr>
          <w:rFonts w:ascii="Segoe UI" w:hAnsi="Segoe UI" w:cs="Segoe UI"/>
          <w:color w:val="172B4D"/>
          <w:sz w:val="21"/>
          <w:szCs w:val="21"/>
          <w:lang w:val="en-US"/>
        </w:rPr>
        <w:t xml:space="preserve">between the OJAs and the JVs by calculating the online job advertisement rate </w:t>
      </w:r>
      <w:r w:rsidR="00E708D8" w:rsidRPr="006C032C">
        <w:rPr>
          <w:rFonts w:ascii="Segoe UI" w:hAnsi="Segoe UI" w:cs="Segoe UI"/>
          <w:color w:val="172B4D"/>
          <w:sz w:val="21"/>
          <w:szCs w:val="21"/>
          <w:lang w:val="en-US"/>
        </w:rPr>
        <w:t>using</w:t>
      </w:r>
      <w:r w:rsidR="00AA3EF4" w:rsidRPr="006C032C">
        <w:rPr>
          <w:rFonts w:ascii="Segoe UI" w:hAnsi="Segoe UI" w:cs="Segoe UI"/>
          <w:color w:val="172B4D"/>
          <w:sz w:val="21"/>
          <w:szCs w:val="21"/>
          <w:lang w:val="en-US"/>
        </w:rPr>
        <w:t xml:space="preserve"> the same definition of the job vacancy rate</w:t>
      </w:r>
      <w:r w:rsidR="00D9690B">
        <w:rPr>
          <w:rFonts w:ascii="Segoe UI" w:hAnsi="Segoe UI" w:cs="Segoe UI"/>
          <w:color w:val="172B4D"/>
          <w:sz w:val="21"/>
          <w:szCs w:val="21"/>
          <w:lang w:val="en-US"/>
        </w:rPr>
        <w:t>.</w:t>
      </w:r>
      <w:r w:rsidRPr="006C032C">
        <w:rPr>
          <w:rFonts w:ascii="Segoe UI" w:hAnsi="Segoe UI" w:cs="Segoe UI"/>
          <w:color w:val="172B4D"/>
          <w:sz w:val="21"/>
          <w:szCs w:val="21"/>
          <w:lang w:val="en-US"/>
        </w:rPr>
        <w:t xml:space="preserve">  </w:t>
      </w:r>
    </w:p>
    <w:p w14:paraId="1118D23F" w14:textId="13067F61" w:rsidR="002C2EB8" w:rsidRPr="006C032C" w:rsidRDefault="00AA3EF4" w:rsidP="00E931DB">
      <w:pPr>
        <w:jc w:val="both"/>
        <w:rPr>
          <w:rFonts w:ascii="Segoe UI" w:hAnsi="Segoe UI" w:cs="Segoe UI"/>
          <w:color w:val="172B4D"/>
          <w:sz w:val="21"/>
          <w:szCs w:val="21"/>
          <w:lang w:val="en-US"/>
        </w:rPr>
      </w:pPr>
      <w:r w:rsidRPr="006C032C">
        <w:rPr>
          <w:rFonts w:ascii="Segoe UI" w:hAnsi="Segoe UI" w:cs="Segoe UI"/>
          <w:color w:val="172B4D"/>
          <w:sz w:val="21"/>
          <w:szCs w:val="21"/>
          <w:lang w:val="en-US"/>
        </w:rPr>
        <w:t>Furthermore, other preliminary descriptive analysis have been carried out,</w:t>
      </w:r>
      <w:r w:rsidR="00F04F8D" w:rsidRPr="006C032C">
        <w:rPr>
          <w:rFonts w:ascii="Segoe UI" w:hAnsi="Segoe UI" w:cs="Segoe UI"/>
          <w:color w:val="172B4D"/>
          <w:sz w:val="21"/>
          <w:szCs w:val="21"/>
          <w:lang w:val="en-US"/>
        </w:rPr>
        <w:t xml:space="preserve"> </w:t>
      </w:r>
      <w:r w:rsidRPr="006C032C">
        <w:rPr>
          <w:rFonts w:ascii="Segoe UI" w:hAnsi="Segoe UI" w:cs="Segoe UI"/>
          <w:color w:val="172B4D"/>
          <w:sz w:val="21"/>
          <w:szCs w:val="21"/>
          <w:lang w:val="en-US"/>
        </w:rPr>
        <w:t xml:space="preserve">which exploit the detailed and higher frequency information included in the OJAs and suggest different </w:t>
      </w:r>
      <w:r w:rsidR="002C2EB8" w:rsidRPr="006C032C">
        <w:rPr>
          <w:rFonts w:ascii="Segoe UI" w:hAnsi="Segoe UI" w:cs="Segoe UI"/>
          <w:color w:val="172B4D"/>
          <w:sz w:val="21"/>
          <w:szCs w:val="21"/>
          <w:lang w:val="en-US"/>
        </w:rPr>
        <w:t>use</w:t>
      </w:r>
      <w:r w:rsidRPr="006C032C">
        <w:rPr>
          <w:rFonts w:ascii="Segoe UI" w:hAnsi="Segoe UI" w:cs="Segoe UI"/>
          <w:color w:val="172B4D"/>
          <w:sz w:val="21"/>
          <w:szCs w:val="21"/>
          <w:lang w:val="en-US"/>
        </w:rPr>
        <w:t xml:space="preserve"> in which the OJAs can </w:t>
      </w:r>
      <w:r w:rsidR="00A3187D" w:rsidRPr="006C032C">
        <w:rPr>
          <w:rFonts w:ascii="Segoe UI" w:hAnsi="Segoe UI" w:cs="Segoe UI"/>
          <w:color w:val="172B4D"/>
          <w:sz w:val="21"/>
          <w:szCs w:val="21"/>
          <w:lang w:val="en-US"/>
        </w:rPr>
        <w:t xml:space="preserve">complement </w:t>
      </w:r>
      <w:r w:rsidR="00F04F8D" w:rsidRPr="006C032C">
        <w:rPr>
          <w:rFonts w:ascii="Segoe UI" w:hAnsi="Segoe UI" w:cs="Segoe UI"/>
          <w:color w:val="172B4D"/>
          <w:sz w:val="21"/>
          <w:szCs w:val="21"/>
          <w:lang w:val="en-US"/>
        </w:rPr>
        <w:t xml:space="preserve">and enrich </w:t>
      </w:r>
      <w:r w:rsidR="002C2EB8" w:rsidRPr="006C032C">
        <w:rPr>
          <w:rFonts w:ascii="Segoe UI" w:hAnsi="Segoe UI" w:cs="Segoe UI"/>
          <w:color w:val="172B4D"/>
          <w:sz w:val="21"/>
          <w:szCs w:val="21"/>
          <w:lang w:val="en-US"/>
        </w:rPr>
        <w:t xml:space="preserve">the current official JV </w:t>
      </w:r>
      <w:r w:rsidR="00A3187D" w:rsidRPr="006C032C">
        <w:rPr>
          <w:rFonts w:ascii="Segoe UI" w:hAnsi="Segoe UI" w:cs="Segoe UI"/>
          <w:color w:val="172B4D"/>
          <w:sz w:val="21"/>
          <w:szCs w:val="21"/>
          <w:lang w:val="en-US"/>
        </w:rPr>
        <w:t>information</w:t>
      </w:r>
      <w:r w:rsidR="00C46CF9" w:rsidRPr="006C032C">
        <w:rPr>
          <w:rFonts w:ascii="Segoe UI" w:hAnsi="Segoe UI" w:cs="Segoe UI"/>
          <w:color w:val="172B4D"/>
          <w:sz w:val="21"/>
          <w:szCs w:val="21"/>
          <w:lang w:val="en-US"/>
        </w:rPr>
        <w:t>.</w:t>
      </w:r>
    </w:p>
    <w:p w14:paraId="49765DDC" w14:textId="71292CB3" w:rsidR="00F04F8D" w:rsidRPr="006C032C" w:rsidRDefault="00F04F8D" w:rsidP="006C032C">
      <w:pPr>
        <w:pStyle w:val="Paragrafoelenco"/>
        <w:numPr>
          <w:ilvl w:val="0"/>
          <w:numId w:val="29"/>
        </w:numPr>
        <w:shd w:val="clear" w:color="auto" w:fill="FFFFFF" w:themeFill="background1"/>
        <w:jc w:val="both"/>
        <w:rPr>
          <w:rFonts w:ascii="Segoe UI" w:hAnsi="Segoe UI" w:cs="Segoe UI"/>
          <w:color w:val="172B4D"/>
          <w:sz w:val="21"/>
          <w:szCs w:val="21"/>
          <w:lang w:val="en-US"/>
        </w:rPr>
      </w:pPr>
      <w:r w:rsidRPr="006C032C">
        <w:rPr>
          <w:rFonts w:ascii="Segoe UI" w:hAnsi="Segoe UI" w:cs="Segoe UI"/>
          <w:color w:val="172B4D"/>
          <w:sz w:val="21"/>
          <w:szCs w:val="21"/>
          <w:lang w:val="en-US"/>
        </w:rPr>
        <w:t>analysis of the daily OJAs data in order to evaluate the representativeness of job vacancies data at specific reference dates;</w:t>
      </w:r>
    </w:p>
    <w:p w14:paraId="3FEBB958" w14:textId="2B7D1321" w:rsidR="002C2EB8" w:rsidRPr="006C032C" w:rsidRDefault="00F04F8D" w:rsidP="006C032C">
      <w:pPr>
        <w:pStyle w:val="Paragrafoelenco"/>
        <w:numPr>
          <w:ilvl w:val="0"/>
          <w:numId w:val="29"/>
        </w:numPr>
        <w:shd w:val="clear" w:color="auto" w:fill="FFFFFF" w:themeFill="background1"/>
        <w:jc w:val="both"/>
        <w:rPr>
          <w:rFonts w:ascii="Segoe UI" w:hAnsi="Segoe UI" w:cs="Segoe UI"/>
          <w:color w:val="172B4D"/>
          <w:sz w:val="21"/>
          <w:szCs w:val="21"/>
          <w:lang w:val="en-US"/>
        </w:rPr>
      </w:pPr>
      <w:r w:rsidRPr="006C032C">
        <w:rPr>
          <w:rFonts w:ascii="Segoe UI" w:hAnsi="Segoe UI" w:cs="Segoe UI"/>
          <w:color w:val="172B4D"/>
          <w:sz w:val="21"/>
          <w:szCs w:val="21"/>
          <w:lang w:val="en-US"/>
        </w:rPr>
        <w:t xml:space="preserve">use of monthly OJAs data to indirect </w:t>
      </w:r>
      <w:r w:rsidR="00285C62" w:rsidRPr="006C032C">
        <w:rPr>
          <w:rFonts w:ascii="Segoe UI" w:hAnsi="Segoe UI" w:cs="Segoe UI"/>
          <w:color w:val="172B4D"/>
          <w:sz w:val="21"/>
          <w:szCs w:val="21"/>
          <w:lang w:val="en-US"/>
        </w:rPr>
        <w:t>c</w:t>
      </w:r>
      <w:r w:rsidRPr="006C032C">
        <w:rPr>
          <w:rFonts w:ascii="Segoe UI" w:hAnsi="Segoe UI" w:cs="Segoe UI"/>
          <w:color w:val="172B4D"/>
          <w:sz w:val="21"/>
          <w:szCs w:val="21"/>
          <w:lang w:val="en-US"/>
        </w:rPr>
        <w:t xml:space="preserve">ompute </w:t>
      </w:r>
      <w:r w:rsidR="00285C62" w:rsidRPr="006C032C">
        <w:rPr>
          <w:rFonts w:ascii="Segoe UI" w:hAnsi="Segoe UI" w:cs="Segoe UI"/>
          <w:color w:val="172B4D"/>
          <w:sz w:val="21"/>
          <w:szCs w:val="21"/>
          <w:lang w:val="en-US"/>
        </w:rPr>
        <w:t>a monthly basis JV official indicator</w:t>
      </w:r>
      <w:r w:rsidR="002C2EB8" w:rsidRPr="006C032C">
        <w:rPr>
          <w:rFonts w:ascii="Segoe UI" w:hAnsi="Segoe UI" w:cs="Segoe UI"/>
          <w:color w:val="172B4D"/>
          <w:sz w:val="21"/>
          <w:szCs w:val="21"/>
          <w:lang w:val="en-US"/>
        </w:rPr>
        <w:t xml:space="preserve"> </w:t>
      </w:r>
      <w:r w:rsidR="00285C62" w:rsidRPr="006C032C">
        <w:rPr>
          <w:rFonts w:ascii="Segoe UI" w:hAnsi="Segoe UI" w:cs="Segoe UI"/>
          <w:color w:val="172B4D"/>
          <w:sz w:val="21"/>
          <w:szCs w:val="21"/>
          <w:lang w:val="en-US"/>
        </w:rPr>
        <w:t>from the quarterly ones</w:t>
      </w:r>
      <w:r w:rsidRPr="006C032C">
        <w:rPr>
          <w:rFonts w:ascii="Segoe UI" w:hAnsi="Segoe UI" w:cs="Segoe UI"/>
          <w:color w:val="172B4D"/>
          <w:sz w:val="21"/>
          <w:szCs w:val="21"/>
          <w:lang w:val="en-US"/>
        </w:rPr>
        <w:t>;</w:t>
      </w:r>
    </w:p>
    <w:p w14:paraId="115DA0C8" w14:textId="15B808EB" w:rsidR="00443AB0" w:rsidRPr="006C032C" w:rsidRDefault="000A5F99" w:rsidP="006C032C">
      <w:pPr>
        <w:pStyle w:val="Paragrafoelenco"/>
        <w:numPr>
          <w:ilvl w:val="0"/>
          <w:numId w:val="29"/>
        </w:numPr>
        <w:shd w:val="clear" w:color="auto" w:fill="FFFFFF" w:themeFill="background1"/>
        <w:jc w:val="both"/>
        <w:rPr>
          <w:rFonts w:ascii="Segoe UI" w:hAnsi="Segoe UI" w:cs="Segoe UI"/>
          <w:color w:val="172B4D"/>
          <w:sz w:val="21"/>
          <w:szCs w:val="21"/>
          <w:lang w:val="en-US"/>
        </w:rPr>
      </w:pPr>
      <w:r>
        <w:rPr>
          <w:rFonts w:ascii="Segoe UI" w:hAnsi="Segoe UI" w:cs="Segoe UI"/>
          <w:color w:val="172B4D"/>
          <w:sz w:val="21"/>
          <w:szCs w:val="21"/>
          <w:lang w:val="en-US"/>
        </w:rPr>
        <w:t>a</w:t>
      </w:r>
      <w:r w:rsidRPr="006C032C">
        <w:rPr>
          <w:rFonts w:ascii="Segoe UI" w:hAnsi="Segoe UI" w:cs="Segoe UI"/>
          <w:color w:val="172B4D"/>
          <w:sz w:val="21"/>
          <w:szCs w:val="21"/>
          <w:lang w:val="en-US"/>
        </w:rPr>
        <w:t>nalysis</w:t>
      </w:r>
      <w:r w:rsidR="00443AB0" w:rsidRPr="006C032C">
        <w:rPr>
          <w:rFonts w:ascii="Segoe UI" w:hAnsi="Segoe UI" w:cs="Segoe UI"/>
          <w:color w:val="172B4D"/>
          <w:sz w:val="21"/>
          <w:szCs w:val="21"/>
          <w:lang w:val="en-US"/>
        </w:rPr>
        <w:t xml:space="preserve"> of the daily OJAs broken down by geographical area/region and the profession required data in order to study changes over time over </w:t>
      </w:r>
      <w:r w:rsidR="006C032C" w:rsidRPr="006C032C">
        <w:rPr>
          <w:rFonts w:ascii="Segoe UI" w:hAnsi="Segoe UI" w:cs="Segoe UI"/>
          <w:color w:val="172B4D"/>
          <w:sz w:val="21"/>
          <w:szCs w:val="21"/>
          <w:lang w:val="en-US"/>
        </w:rPr>
        <w:t>this dimension.</w:t>
      </w:r>
    </w:p>
    <w:p w14:paraId="43B60D39" w14:textId="4BE69814" w:rsidR="00E708D8" w:rsidRDefault="00E708D8" w:rsidP="0024538F">
      <w:pPr>
        <w:keepNext/>
        <w:jc w:val="both"/>
        <w:rPr>
          <w:rFonts w:asciiTheme="majorHAnsi" w:eastAsiaTheme="majorEastAsia" w:hAnsiTheme="majorHAnsi" w:cstheme="majorBidi"/>
          <w:color w:val="1F4D78" w:themeColor="accent1" w:themeShade="7F"/>
          <w:sz w:val="24"/>
          <w:szCs w:val="24"/>
          <w:lang w:val="en-GB"/>
        </w:rPr>
      </w:pPr>
      <w:r>
        <w:rPr>
          <w:rFonts w:asciiTheme="majorHAnsi" w:eastAsiaTheme="majorEastAsia" w:hAnsiTheme="majorHAnsi" w:cstheme="majorBidi"/>
          <w:color w:val="1F4D78" w:themeColor="accent1" w:themeShade="7F"/>
          <w:sz w:val="24"/>
          <w:szCs w:val="24"/>
          <w:lang w:val="en-GB"/>
        </w:rPr>
        <w:t xml:space="preserve">OJA rate </w:t>
      </w:r>
      <w:r w:rsidRPr="000C6126">
        <w:rPr>
          <w:rFonts w:asciiTheme="majorHAnsi" w:eastAsiaTheme="majorEastAsia" w:hAnsiTheme="majorHAnsi" w:cstheme="majorBidi"/>
          <w:i/>
          <w:color w:val="1F4D78" w:themeColor="accent1" w:themeShade="7F"/>
          <w:sz w:val="24"/>
          <w:szCs w:val="24"/>
          <w:lang w:val="en-GB"/>
        </w:rPr>
        <w:t>vs</w:t>
      </w:r>
      <w:r w:rsidRPr="00E708D8">
        <w:rPr>
          <w:rFonts w:asciiTheme="majorHAnsi" w:eastAsiaTheme="majorEastAsia" w:hAnsiTheme="majorHAnsi" w:cstheme="majorBidi"/>
          <w:color w:val="1F4D78" w:themeColor="accent1" w:themeShade="7F"/>
          <w:sz w:val="24"/>
          <w:szCs w:val="24"/>
          <w:lang w:val="en-GB"/>
        </w:rPr>
        <w:t xml:space="preserve"> JV </w:t>
      </w:r>
      <w:r>
        <w:rPr>
          <w:rFonts w:asciiTheme="majorHAnsi" w:eastAsiaTheme="majorEastAsia" w:hAnsiTheme="majorHAnsi" w:cstheme="majorBidi"/>
          <w:color w:val="1F4D78" w:themeColor="accent1" w:themeShade="7F"/>
          <w:sz w:val="24"/>
          <w:szCs w:val="24"/>
          <w:lang w:val="en-GB"/>
        </w:rPr>
        <w:t xml:space="preserve">rate </w:t>
      </w:r>
      <w:r w:rsidR="000C6126">
        <w:rPr>
          <w:rFonts w:asciiTheme="majorHAnsi" w:eastAsiaTheme="majorEastAsia" w:hAnsiTheme="majorHAnsi" w:cstheme="majorBidi"/>
          <w:color w:val="1F4D78" w:themeColor="accent1" w:themeShade="7F"/>
          <w:sz w:val="24"/>
          <w:szCs w:val="24"/>
          <w:lang w:val="en-GB"/>
        </w:rPr>
        <w:t>official indicator: the I</w:t>
      </w:r>
      <w:r w:rsidRPr="00E708D8">
        <w:rPr>
          <w:rFonts w:asciiTheme="majorHAnsi" w:eastAsiaTheme="majorEastAsia" w:hAnsiTheme="majorHAnsi" w:cstheme="majorBidi"/>
          <w:color w:val="1F4D78" w:themeColor="accent1" w:themeShade="7F"/>
          <w:sz w:val="24"/>
          <w:szCs w:val="24"/>
          <w:lang w:val="en-GB"/>
        </w:rPr>
        <w:t>talian case</w:t>
      </w:r>
    </w:p>
    <w:p w14:paraId="78AF54B9" w14:textId="4CEFF4F7" w:rsidR="000C6126" w:rsidRDefault="000C6126" w:rsidP="000C6126">
      <w:pPr>
        <w:jc w:val="both"/>
        <w:rPr>
          <w:rFonts w:ascii="Segoe UI" w:hAnsi="Segoe UI" w:cs="Segoe UI"/>
          <w:color w:val="172B4D"/>
          <w:sz w:val="21"/>
          <w:szCs w:val="21"/>
          <w:lang w:val="en-US"/>
        </w:rPr>
      </w:pPr>
      <w:r w:rsidRPr="0011348C">
        <w:rPr>
          <w:rFonts w:ascii="Segoe UI" w:hAnsi="Segoe UI" w:cs="Segoe UI"/>
          <w:color w:val="172B4D"/>
          <w:sz w:val="21"/>
          <w:szCs w:val="21"/>
          <w:lang w:val="en-US"/>
        </w:rPr>
        <w:t>As widely discussed in several reports, job vacancies advertised on job portals by enterprises represent a different concept with respect to EU</w:t>
      </w:r>
      <w:r w:rsidRPr="00E931DB">
        <w:rPr>
          <w:rFonts w:ascii="Segoe UI" w:hAnsi="Segoe UI" w:cs="Segoe UI"/>
          <w:color w:val="172B4D"/>
          <w:sz w:val="21"/>
          <w:szCs w:val="21"/>
          <w:lang w:val="en-US"/>
        </w:rPr>
        <w:t xml:space="preserve"> </w:t>
      </w:r>
      <w:r w:rsidRPr="0011348C">
        <w:rPr>
          <w:rFonts w:ascii="Segoe UI" w:hAnsi="Segoe UI" w:cs="Segoe UI"/>
          <w:color w:val="172B4D"/>
          <w:sz w:val="21"/>
          <w:szCs w:val="21"/>
          <w:lang w:val="en-US"/>
        </w:rPr>
        <w:t>Regulations definition of job vacancy.</w:t>
      </w:r>
      <w:r w:rsidR="00986417" w:rsidRPr="0011348C">
        <w:rPr>
          <w:rFonts w:ascii="Segoe UI" w:hAnsi="Segoe UI" w:cs="Segoe UI"/>
          <w:color w:val="172B4D"/>
          <w:sz w:val="21"/>
          <w:szCs w:val="21"/>
          <w:lang w:val="en-US"/>
        </w:rPr>
        <w:t xml:space="preserve"> They are</w:t>
      </w:r>
      <w:r w:rsidR="00741B78" w:rsidRPr="0011348C">
        <w:rPr>
          <w:rFonts w:ascii="Segoe UI" w:hAnsi="Segoe UI" w:cs="Segoe UI"/>
          <w:color w:val="172B4D"/>
          <w:sz w:val="21"/>
          <w:szCs w:val="21"/>
          <w:lang w:val="en-US"/>
        </w:rPr>
        <w:t xml:space="preserve"> </w:t>
      </w:r>
      <w:r w:rsidR="00986417" w:rsidRPr="0011348C">
        <w:rPr>
          <w:rFonts w:ascii="Segoe UI" w:hAnsi="Segoe UI" w:cs="Segoe UI"/>
          <w:color w:val="172B4D"/>
          <w:sz w:val="21"/>
          <w:szCs w:val="21"/>
          <w:lang w:val="en-US"/>
        </w:rPr>
        <w:t>characterized by different coverage and representativeness limits. T</w:t>
      </w:r>
      <w:r w:rsidRPr="0011348C">
        <w:rPr>
          <w:rFonts w:ascii="Segoe UI" w:hAnsi="Segoe UI" w:cs="Segoe UI"/>
          <w:color w:val="172B4D"/>
          <w:sz w:val="21"/>
          <w:szCs w:val="21"/>
          <w:lang w:val="en-US"/>
        </w:rPr>
        <w:t>hey do not represent all existing job vacancies because not all job vacancies are advertised on-line and job portals are not necessarily totally covered. Furthermore, OJAs data might not only miss many jobs, but also not be representative of the overall job vacancies.</w:t>
      </w:r>
      <w:r>
        <w:rPr>
          <w:rFonts w:ascii="Segoe UI" w:hAnsi="Segoe UI" w:cs="Segoe UI"/>
          <w:color w:val="172B4D"/>
          <w:sz w:val="21"/>
          <w:szCs w:val="21"/>
          <w:lang w:val="en-US"/>
        </w:rPr>
        <w:t xml:space="preserve"> </w:t>
      </w:r>
    </w:p>
    <w:p w14:paraId="67AE8643" w14:textId="21813529" w:rsidR="006B6D05" w:rsidRPr="0011348C" w:rsidRDefault="006B6D05" w:rsidP="00986417">
      <w:pPr>
        <w:jc w:val="both"/>
        <w:rPr>
          <w:rFonts w:ascii="Segoe UI" w:hAnsi="Segoe UI" w:cs="Segoe UI"/>
          <w:color w:val="172B4D"/>
          <w:sz w:val="21"/>
          <w:szCs w:val="21"/>
          <w:lang w:val="en-US"/>
        </w:rPr>
      </w:pPr>
      <w:r w:rsidRPr="0011348C">
        <w:rPr>
          <w:rFonts w:ascii="Segoe UI" w:hAnsi="Segoe UI" w:cs="Segoe UI"/>
          <w:color w:val="172B4D"/>
          <w:sz w:val="21"/>
          <w:szCs w:val="21"/>
          <w:lang w:val="en-US"/>
        </w:rPr>
        <w:t>Keeping in mind that OJAs are not an exhaustive measure of the labour demand, t</w:t>
      </w:r>
      <w:r w:rsidR="00986417" w:rsidRPr="0011348C">
        <w:rPr>
          <w:rFonts w:ascii="Segoe UI" w:hAnsi="Segoe UI" w:cs="Segoe UI"/>
          <w:color w:val="172B4D"/>
          <w:sz w:val="21"/>
          <w:szCs w:val="21"/>
          <w:lang w:val="en-US"/>
        </w:rPr>
        <w:t>his section shows a first attempt to compute the OJA rate based on the same definition of the EU Regulation</w:t>
      </w:r>
      <w:r w:rsidR="00E158E9">
        <w:rPr>
          <w:rFonts w:ascii="Segoe UI" w:hAnsi="Segoe UI" w:cs="Segoe UI"/>
          <w:color w:val="172B4D"/>
          <w:sz w:val="21"/>
          <w:szCs w:val="21"/>
          <w:lang w:val="en-US"/>
        </w:rPr>
        <w:t>, in order to make an</w:t>
      </w:r>
      <w:r w:rsidR="00741B78" w:rsidRPr="0011348C">
        <w:rPr>
          <w:rFonts w:ascii="Segoe UI" w:hAnsi="Segoe UI" w:cs="Segoe UI"/>
          <w:color w:val="172B4D"/>
          <w:sz w:val="21"/>
          <w:szCs w:val="21"/>
          <w:lang w:val="en-US"/>
        </w:rPr>
        <w:t xml:space="preserve"> explorative comparison with the</w:t>
      </w:r>
      <w:r w:rsidR="0011348C">
        <w:rPr>
          <w:rFonts w:ascii="Segoe UI" w:hAnsi="Segoe UI" w:cs="Segoe UI"/>
          <w:color w:val="172B4D"/>
          <w:sz w:val="21"/>
          <w:szCs w:val="21"/>
          <w:lang w:val="en-US"/>
        </w:rPr>
        <w:t xml:space="preserve"> quarterly </w:t>
      </w:r>
      <w:r w:rsidR="00B9539F" w:rsidRPr="0011348C">
        <w:rPr>
          <w:rFonts w:ascii="Segoe UI" w:hAnsi="Segoe UI" w:cs="Segoe UI"/>
          <w:color w:val="172B4D"/>
          <w:sz w:val="21"/>
          <w:szCs w:val="21"/>
          <w:lang w:val="en-US"/>
        </w:rPr>
        <w:t xml:space="preserve">national </w:t>
      </w:r>
      <w:r w:rsidR="00741B78" w:rsidRPr="0011348C">
        <w:rPr>
          <w:rFonts w:ascii="Segoe UI" w:hAnsi="Segoe UI" w:cs="Segoe UI"/>
          <w:color w:val="172B4D"/>
          <w:sz w:val="21"/>
          <w:szCs w:val="21"/>
          <w:lang w:val="en-US"/>
        </w:rPr>
        <w:t>official JV rate</w:t>
      </w:r>
      <w:r w:rsidR="0011348C">
        <w:rPr>
          <w:rFonts w:ascii="Segoe UI" w:hAnsi="Segoe UI" w:cs="Segoe UI"/>
          <w:color w:val="172B4D"/>
          <w:sz w:val="21"/>
          <w:szCs w:val="21"/>
          <w:lang w:val="en-US"/>
        </w:rPr>
        <w:t xml:space="preserve"> (</w:t>
      </w:r>
      <w:r w:rsidR="004B5A24" w:rsidRPr="004B5A24">
        <w:rPr>
          <w:rFonts w:ascii="Segoe UI" w:hAnsi="Segoe UI" w:cs="Segoe UI"/>
          <w:i/>
          <w:color w:val="172B4D"/>
          <w:sz w:val="21"/>
          <w:szCs w:val="21"/>
          <w:lang w:val="en-US"/>
        </w:rPr>
        <w:t>JVr</w:t>
      </w:r>
      <w:r w:rsidR="004B5A24" w:rsidRPr="004B5A24">
        <w:rPr>
          <w:rFonts w:ascii="Segoe UI" w:hAnsi="Segoe UI" w:cs="Segoe UI"/>
          <w:i/>
          <w:color w:val="172B4D"/>
          <w:sz w:val="21"/>
          <w:szCs w:val="21"/>
          <w:vertAlign w:val="subscript"/>
          <w:lang w:val="en-US"/>
        </w:rPr>
        <w:t>q</w:t>
      </w:r>
      <w:r w:rsidR="0011348C">
        <w:rPr>
          <w:rFonts w:ascii="Segoe UI" w:hAnsi="Segoe UI" w:cs="Segoe UI"/>
          <w:color w:val="172B4D"/>
          <w:sz w:val="21"/>
          <w:szCs w:val="21"/>
          <w:lang w:val="en-US"/>
        </w:rPr>
        <w:t>)</w:t>
      </w:r>
      <w:r w:rsidR="00B9539F" w:rsidRPr="0011348C">
        <w:rPr>
          <w:rFonts w:ascii="Segoe UI" w:hAnsi="Segoe UI" w:cs="Segoe UI"/>
          <w:color w:val="172B4D"/>
          <w:sz w:val="21"/>
          <w:szCs w:val="21"/>
          <w:lang w:val="en-US"/>
        </w:rPr>
        <w:t>:</w:t>
      </w:r>
    </w:p>
    <w:p w14:paraId="086701F3" w14:textId="7839CA9D" w:rsidR="00B9539F" w:rsidRPr="00B4009F" w:rsidRDefault="003C565B" w:rsidP="00986417">
      <w:pPr>
        <w:jc w:val="both"/>
        <w:rPr>
          <w:rFonts w:ascii="Segoe UI" w:hAnsi="Segoe UI" w:cs="Segoe UI"/>
          <w:color w:val="172B4D"/>
          <w:sz w:val="21"/>
          <w:szCs w:val="21"/>
          <w:lang w:val="en-US"/>
        </w:rPr>
      </w:pPr>
      <m:oMath>
        <m:sSub>
          <m:sSubPr>
            <m:ctrlPr>
              <w:rPr>
                <w:rFonts w:ascii="Cambria Math" w:hAnsi="Cambria Math" w:cs="Segoe UI"/>
                <w:bCs/>
                <w:i/>
                <w:iCs/>
                <w:color w:val="172B4D"/>
                <w:sz w:val="21"/>
                <w:szCs w:val="21"/>
                <w:lang w:val="en-US"/>
              </w:rPr>
            </m:ctrlPr>
          </m:sSubPr>
          <m:e>
            <m:r>
              <w:rPr>
                <w:rFonts w:ascii="Cambria Math" w:hAnsi="Cambria Math" w:cs="Segoe UI"/>
                <w:color w:val="172B4D"/>
                <w:sz w:val="21"/>
                <w:szCs w:val="21"/>
                <w:lang w:val="en-US"/>
              </w:rPr>
              <m:t>JVr</m:t>
            </m:r>
          </m:e>
          <m:sub>
            <m:r>
              <w:rPr>
                <w:rFonts w:ascii="Cambria Math" w:hAnsi="Cambria Math" w:cs="Segoe UI"/>
                <w:color w:val="172B4D"/>
                <w:sz w:val="21"/>
                <w:szCs w:val="21"/>
                <w:lang w:val="en-US"/>
              </w:rPr>
              <m:t>q</m:t>
            </m:r>
          </m:sub>
        </m:sSub>
        <m:r>
          <m:rPr>
            <m:sty m:val="p"/>
          </m:rPr>
          <w:rPr>
            <w:rFonts w:ascii="Cambria Math" w:hAnsi="Cambria Math" w:cs="Segoe UI"/>
            <w:color w:val="172B4D"/>
            <w:sz w:val="21"/>
            <w:szCs w:val="21"/>
            <w:lang w:val="en-US"/>
          </w:rPr>
          <m:t>=100*</m:t>
        </m:r>
        <m:f>
          <m:fPr>
            <m:ctrlPr>
              <w:rPr>
                <w:rFonts w:ascii="Cambria Math" w:hAnsi="Cambria Math" w:cs="Segoe UI"/>
                <w:color w:val="172B4D"/>
                <w:sz w:val="21"/>
                <w:szCs w:val="21"/>
                <w:lang w:val="en-US"/>
              </w:rPr>
            </m:ctrlPr>
          </m:fPr>
          <m:num>
            <m:sSub>
              <m:sSubPr>
                <m:ctrlPr>
                  <w:rPr>
                    <w:rFonts w:ascii="Cambria Math" w:hAnsi="Cambria Math" w:cs="Segoe UI"/>
                    <w:bCs/>
                    <w:i/>
                    <w:iCs/>
                    <w:color w:val="172B4D"/>
                    <w:sz w:val="21"/>
                    <w:szCs w:val="21"/>
                    <w:lang w:val="en-US"/>
                  </w:rPr>
                </m:ctrlPr>
              </m:sSubPr>
              <m:e>
                <m:r>
                  <w:rPr>
                    <w:rFonts w:ascii="Cambria Math" w:hAnsi="Cambria Math" w:cs="Segoe UI"/>
                    <w:color w:val="172B4D"/>
                    <w:sz w:val="21"/>
                    <w:szCs w:val="21"/>
                    <w:lang w:val="en-US"/>
                  </w:rPr>
                  <m:t>JV</m:t>
                </m:r>
              </m:e>
              <m:sub>
                <m:r>
                  <w:rPr>
                    <w:rFonts w:ascii="Cambria Math" w:hAnsi="Cambria Math" w:cs="Segoe UI"/>
                    <w:color w:val="172B4D"/>
                    <w:sz w:val="21"/>
                    <w:szCs w:val="21"/>
                    <w:lang w:val="en-US"/>
                  </w:rPr>
                  <m:t>q</m:t>
                </m:r>
              </m:sub>
            </m:sSub>
          </m:num>
          <m:den>
            <m:r>
              <m:rPr>
                <m:sty m:val="p"/>
              </m:rPr>
              <w:rPr>
                <w:rFonts w:ascii="Cambria Math" w:hAnsi="Cambria Math" w:cs="Segoe UI"/>
                <w:color w:val="172B4D"/>
                <w:sz w:val="21"/>
                <w:szCs w:val="21"/>
                <w:lang w:val="en-US"/>
              </w:rPr>
              <m:t>(</m:t>
            </m:r>
            <m:sSub>
              <m:sSubPr>
                <m:ctrlPr>
                  <w:rPr>
                    <w:rFonts w:ascii="Cambria Math" w:hAnsi="Cambria Math" w:cs="Segoe UI"/>
                    <w:bCs/>
                    <w:i/>
                    <w:iCs/>
                    <w:color w:val="172B4D"/>
                    <w:sz w:val="21"/>
                    <w:szCs w:val="21"/>
                    <w:lang w:val="en-US"/>
                  </w:rPr>
                </m:ctrlPr>
              </m:sSubPr>
              <m:e>
                <m:r>
                  <w:rPr>
                    <w:rFonts w:ascii="Cambria Math" w:hAnsi="Cambria Math" w:cs="Segoe UI"/>
                    <w:color w:val="172B4D"/>
                    <w:sz w:val="21"/>
                    <w:szCs w:val="21"/>
                    <w:lang w:val="en-US"/>
                  </w:rPr>
                  <m:t>JV</m:t>
                </m:r>
              </m:e>
              <m:sub>
                <m:r>
                  <w:rPr>
                    <w:rFonts w:ascii="Cambria Math" w:hAnsi="Cambria Math" w:cs="Segoe UI"/>
                    <w:color w:val="172B4D"/>
                    <w:sz w:val="21"/>
                    <w:szCs w:val="21"/>
                    <w:lang w:val="en-US"/>
                  </w:rPr>
                  <m:t>q</m:t>
                </m:r>
              </m:sub>
            </m:sSub>
            <m:r>
              <m:rPr>
                <m:sty m:val="p"/>
              </m:rPr>
              <w:rPr>
                <w:rFonts w:ascii="Cambria Math" w:hAnsi="Cambria Math" w:cs="Segoe UI"/>
                <w:color w:val="172B4D"/>
                <w:sz w:val="21"/>
                <w:szCs w:val="21"/>
                <w:lang w:val="en-US"/>
              </w:rPr>
              <m:t>+</m:t>
            </m:r>
            <m:sSub>
              <m:sSubPr>
                <m:ctrlPr>
                  <w:rPr>
                    <w:rFonts w:ascii="Cambria Math" w:hAnsi="Cambria Math" w:cs="Segoe UI"/>
                    <w:bCs/>
                    <w:i/>
                    <w:iCs/>
                    <w:color w:val="172B4D"/>
                    <w:sz w:val="21"/>
                    <w:szCs w:val="21"/>
                    <w:lang w:val="en-US"/>
                  </w:rPr>
                </m:ctrlPr>
              </m:sSubPr>
              <m:e>
                <m:r>
                  <w:rPr>
                    <w:rFonts w:ascii="Cambria Math" w:hAnsi="Cambria Math" w:cs="Segoe UI"/>
                    <w:color w:val="172B4D"/>
                    <w:sz w:val="21"/>
                    <w:szCs w:val="21"/>
                    <w:lang w:val="en-US"/>
                  </w:rPr>
                  <m:t>JP</m:t>
                </m:r>
              </m:e>
              <m:sub>
                <m:r>
                  <w:rPr>
                    <w:rFonts w:ascii="Cambria Math" w:hAnsi="Cambria Math" w:cs="Segoe UI"/>
                    <w:color w:val="172B4D"/>
                    <w:sz w:val="21"/>
                    <w:szCs w:val="21"/>
                    <w:lang w:val="en-US"/>
                  </w:rPr>
                  <m:t>q</m:t>
                </m:r>
              </m:sub>
            </m:sSub>
            <m:r>
              <m:rPr>
                <m:sty m:val="p"/>
              </m:rPr>
              <w:rPr>
                <w:rFonts w:ascii="Cambria Math" w:hAnsi="Cambria Math" w:cs="Segoe UI"/>
                <w:color w:val="172B4D"/>
                <w:sz w:val="21"/>
                <w:szCs w:val="21"/>
                <w:lang w:val="en-US"/>
              </w:rPr>
              <m:t>)</m:t>
            </m:r>
          </m:den>
        </m:f>
      </m:oMath>
      <w:r w:rsidR="00B9539F" w:rsidRPr="00B4009F">
        <w:rPr>
          <w:rFonts w:ascii="Segoe UI" w:hAnsi="Segoe UI" w:cs="Segoe UI"/>
          <w:color w:val="172B4D"/>
          <w:sz w:val="21"/>
          <w:szCs w:val="21"/>
          <w:lang w:val="en-US"/>
        </w:rPr>
        <w:t xml:space="preserve"> </w:t>
      </w:r>
    </w:p>
    <w:p w14:paraId="3DC653D2" w14:textId="657F108A" w:rsidR="00CB14D5" w:rsidRPr="00CB14D5" w:rsidRDefault="00CB14D5" w:rsidP="00986417">
      <w:pPr>
        <w:jc w:val="both"/>
        <w:rPr>
          <w:rFonts w:ascii="Segoe UI" w:hAnsi="Segoe UI" w:cs="Segoe UI"/>
          <w:color w:val="172B4D"/>
          <w:sz w:val="21"/>
          <w:szCs w:val="21"/>
          <w:lang w:val="en-US"/>
        </w:rPr>
      </w:pPr>
      <w:r>
        <w:rPr>
          <w:rFonts w:ascii="Segoe UI" w:hAnsi="Segoe UI" w:cs="Segoe UI"/>
          <w:color w:val="172B4D"/>
          <w:sz w:val="21"/>
          <w:szCs w:val="21"/>
          <w:lang w:val="en-US"/>
        </w:rPr>
        <w:t xml:space="preserve">where </w:t>
      </w:r>
      <w:r w:rsidRPr="00CB14D5">
        <w:rPr>
          <w:rFonts w:ascii="Segoe UI" w:hAnsi="Segoe UI" w:cs="Segoe UI"/>
          <w:i/>
          <w:color w:val="172B4D"/>
          <w:sz w:val="21"/>
          <w:szCs w:val="21"/>
          <w:lang w:val="en-US"/>
        </w:rPr>
        <w:t>JV</w:t>
      </w:r>
      <w:r>
        <w:rPr>
          <w:rFonts w:ascii="Segoe UI" w:hAnsi="Segoe UI" w:cs="Segoe UI"/>
          <w:color w:val="172B4D"/>
          <w:sz w:val="21"/>
          <w:szCs w:val="21"/>
          <w:lang w:val="en-US"/>
        </w:rPr>
        <w:t xml:space="preserve"> and </w:t>
      </w:r>
      <w:r w:rsidRPr="00CB14D5">
        <w:rPr>
          <w:rFonts w:ascii="Segoe UI" w:hAnsi="Segoe UI" w:cs="Segoe UI"/>
          <w:i/>
          <w:color w:val="172B4D"/>
          <w:sz w:val="21"/>
          <w:szCs w:val="21"/>
          <w:lang w:val="en-US"/>
        </w:rPr>
        <w:t>JP</w:t>
      </w:r>
      <w:r>
        <w:rPr>
          <w:rFonts w:ascii="Segoe UI" w:hAnsi="Segoe UI" w:cs="Segoe UI"/>
          <w:color w:val="172B4D"/>
          <w:sz w:val="21"/>
          <w:szCs w:val="21"/>
          <w:lang w:val="en-US"/>
        </w:rPr>
        <w:t xml:space="preserve"> are, respectively, the </w:t>
      </w:r>
      <w:r w:rsidRPr="00CB14D5">
        <w:rPr>
          <w:rFonts w:ascii="Segoe UI" w:hAnsi="Segoe UI" w:cs="Segoe UI"/>
          <w:color w:val="172B4D"/>
          <w:sz w:val="21"/>
          <w:szCs w:val="21"/>
          <w:lang w:val="en-US"/>
        </w:rPr>
        <w:t>estimated numbe</w:t>
      </w:r>
      <w:r>
        <w:rPr>
          <w:rFonts w:ascii="Segoe UI" w:hAnsi="Segoe UI" w:cs="Segoe UI"/>
          <w:color w:val="172B4D"/>
          <w:sz w:val="21"/>
          <w:szCs w:val="21"/>
          <w:lang w:val="en-US"/>
        </w:rPr>
        <w:t>r of job vaca</w:t>
      </w:r>
      <w:r w:rsidR="00FE7732">
        <w:rPr>
          <w:rFonts w:ascii="Segoe UI" w:hAnsi="Segoe UI" w:cs="Segoe UI"/>
          <w:color w:val="172B4D"/>
          <w:sz w:val="21"/>
          <w:szCs w:val="21"/>
          <w:lang w:val="en-US"/>
        </w:rPr>
        <w:t>ncies and occupied job position</w:t>
      </w:r>
      <w:r w:rsidR="00201B8F">
        <w:rPr>
          <w:rFonts w:ascii="Segoe UI" w:hAnsi="Segoe UI" w:cs="Segoe UI"/>
          <w:color w:val="172B4D"/>
          <w:sz w:val="21"/>
          <w:szCs w:val="21"/>
          <w:lang w:val="en-US"/>
        </w:rPr>
        <w:t xml:space="preserve"> on the basis of the quarterly</w:t>
      </w:r>
      <w:r w:rsidR="00566D4F">
        <w:rPr>
          <w:rFonts w:ascii="Segoe UI" w:hAnsi="Segoe UI" w:cs="Segoe UI"/>
          <w:color w:val="172B4D"/>
          <w:sz w:val="21"/>
          <w:szCs w:val="21"/>
          <w:lang w:val="en-US"/>
        </w:rPr>
        <w:t xml:space="preserve"> Istat</w:t>
      </w:r>
      <w:r w:rsidR="00201B8F">
        <w:rPr>
          <w:rFonts w:ascii="Segoe UI" w:hAnsi="Segoe UI" w:cs="Segoe UI"/>
          <w:color w:val="172B4D"/>
          <w:sz w:val="21"/>
          <w:szCs w:val="21"/>
          <w:lang w:val="en-US"/>
        </w:rPr>
        <w:t xml:space="preserve"> survey on job vacancies and hours worked (VELA)</w:t>
      </w:r>
      <w:r>
        <w:rPr>
          <w:rFonts w:ascii="Segoe UI" w:hAnsi="Segoe UI" w:cs="Segoe UI"/>
          <w:color w:val="172B4D"/>
          <w:sz w:val="21"/>
          <w:szCs w:val="21"/>
          <w:lang w:val="en-US"/>
        </w:rPr>
        <w:t>.</w:t>
      </w:r>
    </w:p>
    <w:p w14:paraId="2533A5A3" w14:textId="1F473F58" w:rsidR="00986417" w:rsidRPr="0011348C" w:rsidRDefault="006B6D05" w:rsidP="00986417">
      <w:pPr>
        <w:jc w:val="both"/>
        <w:rPr>
          <w:rFonts w:ascii="Segoe UI" w:hAnsi="Segoe UI" w:cs="Segoe UI"/>
          <w:color w:val="172B4D"/>
          <w:sz w:val="21"/>
          <w:szCs w:val="21"/>
          <w:lang w:val="en-US"/>
        </w:rPr>
      </w:pPr>
      <w:r w:rsidRPr="0011348C">
        <w:rPr>
          <w:rFonts w:ascii="Segoe UI" w:hAnsi="Segoe UI" w:cs="Segoe UI"/>
          <w:color w:val="172B4D"/>
          <w:sz w:val="21"/>
          <w:szCs w:val="21"/>
          <w:lang w:val="en-US"/>
        </w:rPr>
        <w:lastRenderedPageBreak/>
        <w:t>The OJA rate</w:t>
      </w:r>
      <w:r w:rsidR="0011348C">
        <w:rPr>
          <w:rFonts w:ascii="Segoe UI" w:hAnsi="Segoe UI" w:cs="Segoe UI"/>
          <w:color w:val="172B4D"/>
          <w:sz w:val="21"/>
          <w:szCs w:val="21"/>
          <w:lang w:val="en-US"/>
        </w:rPr>
        <w:t xml:space="preserve"> (</w:t>
      </w:r>
      <w:r w:rsidR="004B5A24" w:rsidRPr="004B5A24">
        <w:rPr>
          <w:rFonts w:ascii="Segoe UI" w:hAnsi="Segoe UI" w:cs="Segoe UI"/>
          <w:i/>
          <w:color w:val="172B4D"/>
          <w:sz w:val="21"/>
          <w:szCs w:val="21"/>
          <w:lang w:val="en-US"/>
        </w:rPr>
        <w:t>OJAr</w:t>
      </w:r>
      <w:r w:rsidR="004B5A24" w:rsidRPr="004B5A24">
        <w:rPr>
          <w:rFonts w:ascii="Segoe UI" w:hAnsi="Segoe UI" w:cs="Segoe UI"/>
          <w:i/>
          <w:color w:val="172B4D"/>
          <w:sz w:val="21"/>
          <w:szCs w:val="21"/>
          <w:vertAlign w:val="subscript"/>
          <w:lang w:val="en-US"/>
        </w:rPr>
        <w:t>q</w:t>
      </w:r>
      <w:r w:rsidR="0011348C">
        <w:rPr>
          <w:rFonts w:ascii="Segoe UI" w:hAnsi="Segoe UI" w:cs="Segoe UI"/>
          <w:color w:val="172B4D"/>
          <w:sz w:val="21"/>
          <w:szCs w:val="21"/>
          <w:lang w:val="en-US"/>
        </w:rPr>
        <w:t>)</w:t>
      </w:r>
      <w:r w:rsidRPr="0011348C">
        <w:rPr>
          <w:rFonts w:ascii="Segoe UI" w:hAnsi="Segoe UI" w:cs="Segoe UI"/>
          <w:color w:val="172B4D"/>
          <w:sz w:val="21"/>
          <w:szCs w:val="21"/>
          <w:lang w:val="en-US"/>
        </w:rPr>
        <w:t xml:space="preserve"> </w:t>
      </w:r>
      <w:r w:rsidR="00B9539F" w:rsidRPr="0011348C">
        <w:rPr>
          <w:rFonts w:ascii="Segoe UI" w:hAnsi="Segoe UI" w:cs="Segoe UI"/>
          <w:color w:val="172B4D"/>
          <w:sz w:val="21"/>
          <w:szCs w:val="21"/>
          <w:lang w:val="en-US"/>
        </w:rPr>
        <w:t xml:space="preserve">has been computed on a quarterly basis, from the third quarter 2018 to the fourth quarter 2019, and covering </w:t>
      </w:r>
      <w:r w:rsidRPr="0011348C">
        <w:rPr>
          <w:rFonts w:ascii="Segoe UI" w:hAnsi="Segoe UI" w:cs="Segoe UI"/>
          <w:color w:val="172B4D"/>
          <w:sz w:val="21"/>
          <w:szCs w:val="21"/>
          <w:lang w:val="en-US"/>
        </w:rPr>
        <w:t>the same NACE Rev. 2 economic activity sections</w:t>
      </w:r>
      <w:r w:rsidR="00B9539F" w:rsidRPr="0011348C">
        <w:rPr>
          <w:rFonts w:ascii="Segoe UI" w:hAnsi="Segoe UI" w:cs="Segoe UI"/>
          <w:color w:val="172B4D"/>
          <w:sz w:val="21"/>
          <w:szCs w:val="21"/>
          <w:lang w:val="en-US"/>
        </w:rPr>
        <w:t xml:space="preserve"> (from B to S, excluding the public sector)</w:t>
      </w:r>
      <w:r w:rsidRPr="0011348C">
        <w:rPr>
          <w:rFonts w:ascii="Segoe UI" w:hAnsi="Segoe UI" w:cs="Segoe UI"/>
          <w:color w:val="172B4D"/>
          <w:sz w:val="21"/>
          <w:szCs w:val="21"/>
          <w:lang w:val="en-US"/>
        </w:rPr>
        <w:t xml:space="preserve"> as the Italian JV rate</w:t>
      </w:r>
      <w:r w:rsidR="00B9539F" w:rsidRPr="0011348C">
        <w:rPr>
          <w:rFonts w:ascii="Segoe UI" w:hAnsi="Segoe UI" w:cs="Segoe UI"/>
          <w:color w:val="172B4D"/>
          <w:sz w:val="21"/>
          <w:szCs w:val="21"/>
          <w:lang w:val="en-US"/>
        </w:rPr>
        <w:t>.</w:t>
      </w:r>
      <w:r w:rsidRPr="0011348C">
        <w:rPr>
          <w:rFonts w:ascii="Segoe UI" w:hAnsi="Segoe UI" w:cs="Segoe UI"/>
          <w:color w:val="172B4D"/>
          <w:sz w:val="21"/>
          <w:szCs w:val="21"/>
          <w:lang w:val="en-US"/>
        </w:rPr>
        <w:t xml:space="preserve"> </w:t>
      </w:r>
    </w:p>
    <w:p w14:paraId="58DCAC96" w14:textId="4455231E" w:rsidR="00B9539F" w:rsidRPr="0011348C" w:rsidRDefault="003C565B" w:rsidP="00986417">
      <w:pPr>
        <w:jc w:val="both"/>
        <w:rPr>
          <w:rFonts w:ascii="Segoe UI" w:hAnsi="Segoe UI" w:cs="Segoe UI"/>
          <w:color w:val="172B4D"/>
          <w:sz w:val="21"/>
          <w:szCs w:val="21"/>
          <w:lang w:val="en-US"/>
        </w:rPr>
      </w:pPr>
      <m:oMath>
        <m:sSub>
          <m:sSubPr>
            <m:ctrlPr>
              <w:rPr>
                <w:rFonts w:ascii="Cambria Math" w:hAnsi="Cambria Math" w:cs="Segoe UI"/>
                <w:bCs/>
                <w:i/>
                <w:iCs/>
                <w:color w:val="172B4D"/>
                <w:sz w:val="21"/>
                <w:szCs w:val="21"/>
                <w:lang w:val="en-US"/>
              </w:rPr>
            </m:ctrlPr>
          </m:sSubPr>
          <m:e>
            <m:r>
              <w:rPr>
                <w:rFonts w:ascii="Cambria Math" w:hAnsi="Cambria Math" w:cs="Segoe UI"/>
                <w:color w:val="172B4D"/>
                <w:sz w:val="21"/>
                <w:szCs w:val="21"/>
                <w:lang w:val="en-US"/>
              </w:rPr>
              <m:t>OJAr</m:t>
            </m:r>
          </m:e>
          <m:sub>
            <m:r>
              <w:rPr>
                <w:rFonts w:ascii="Cambria Math" w:hAnsi="Cambria Math" w:cs="Segoe UI"/>
                <w:color w:val="172B4D"/>
                <w:sz w:val="21"/>
                <w:szCs w:val="21"/>
                <w:lang w:val="en-US"/>
              </w:rPr>
              <m:t>q</m:t>
            </m:r>
          </m:sub>
        </m:sSub>
        <m:r>
          <m:rPr>
            <m:sty m:val="p"/>
          </m:rPr>
          <w:rPr>
            <w:rFonts w:ascii="Cambria Math" w:hAnsi="Cambria Math" w:cs="Segoe UI"/>
            <w:color w:val="172B4D"/>
            <w:sz w:val="21"/>
            <w:szCs w:val="21"/>
            <w:lang w:val="en-US"/>
          </w:rPr>
          <m:t>=100*</m:t>
        </m:r>
        <m:f>
          <m:fPr>
            <m:ctrlPr>
              <w:rPr>
                <w:rFonts w:ascii="Cambria Math" w:hAnsi="Cambria Math" w:cs="Segoe UI"/>
                <w:color w:val="172B4D"/>
                <w:sz w:val="21"/>
                <w:szCs w:val="21"/>
                <w:lang w:val="en-US"/>
              </w:rPr>
            </m:ctrlPr>
          </m:fPr>
          <m:num>
            <m:f>
              <m:fPr>
                <m:ctrlPr>
                  <w:rPr>
                    <w:rFonts w:ascii="Cambria Math" w:hAnsi="Cambria Math" w:cs="Segoe UI"/>
                    <w:color w:val="172B4D"/>
                    <w:sz w:val="21"/>
                    <w:szCs w:val="21"/>
                    <w:lang w:val="en-US"/>
                  </w:rPr>
                </m:ctrlPr>
              </m:fPr>
              <m:num>
                <m:nary>
                  <m:naryPr>
                    <m:chr m:val="∑"/>
                    <m:ctrlPr>
                      <w:rPr>
                        <w:rFonts w:ascii="Cambria Math" w:hAnsi="Cambria Math" w:cs="Segoe UI"/>
                        <w:color w:val="172B4D"/>
                        <w:sz w:val="21"/>
                        <w:szCs w:val="21"/>
                        <w:lang w:val="en-US"/>
                      </w:rPr>
                    </m:ctrlPr>
                  </m:naryPr>
                  <m:sub>
                    <m:r>
                      <w:rPr>
                        <w:rFonts w:ascii="Cambria Math" w:hAnsi="Cambria Math" w:cs="Segoe UI"/>
                        <w:color w:val="172B4D"/>
                        <w:sz w:val="21"/>
                        <w:szCs w:val="21"/>
                        <w:lang w:val="en-US"/>
                      </w:rPr>
                      <m:t>m</m:t>
                    </m:r>
                    <m:r>
                      <m:rPr>
                        <m:sty m:val="p"/>
                      </m:rPr>
                      <w:rPr>
                        <w:rFonts w:ascii="Cambria Math" w:hAnsi="Cambria Math" w:cs="Segoe UI"/>
                        <w:color w:val="172B4D"/>
                        <w:sz w:val="21"/>
                        <w:szCs w:val="21"/>
                        <w:lang w:val="en-US"/>
                      </w:rPr>
                      <m:t>=1</m:t>
                    </m:r>
                  </m:sub>
                  <m:sup>
                    <m:r>
                      <m:rPr>
                        <m:sty m:val="p"/>
                      </m:rPr>
                      <w:rPr>
                        <w:rFonts w:ascii="Cambria Math" w:hAnsi="Cambria Math" w:cs="Segoe UI"/>
                        <w:color w:val="172B4D"/>
                        <w:sz w:val="21"/>
                        <w:szCs w:val="21"/>
                        <w:lang w:val="en-US"/>
                      </w:rPr>
                      <m:t>3</m:t>
                    </m:r>
                  </m:sup>
                  <m:e>
                    <m:d>
                      <m:dPr>
                        <m:ctrlPr>
                          <w:rPr>
                            <w:rFonts w:ascii="Cambria Math" w:hAnsi="Cambria Math" w:cs="Segoe UI"/>
                            <w:color w:val="172B4D"/>
                            <w:sz w:val="21"/>
                            <w:szCs w:val="21"/>
                            <w:lang w:val="en-US"/>
                          </w:rPr>
                        </m:ctrlPr>
                      </m:dPr>
                      <m:e>
                        <m:sSub>
                          <m:sSubPr>
                            <m:ctrlPr>
                              <w:rPr>
                                <w:rFonts w:ascii="Cambria Math" w:hAnsi="Cambria Math" w:cs="Segoe UI"/>
                                <w:color w:val="172B4D"/>
                                <w:sz w:val="21"/>
                                <w:szCs w:val="21"/>
                                <w:lang w:val="en-US"/>
                              </w:rPr>
                            </m:ctrlPr>
                          </m:sSubPr>
                          <m:e>
                            <m:r>
                              <w:rPr>
                                <w:rFonts w:ascii="Cambria Math" w:hAnsi="Cambria Math" w:cs="Segoe UI"/>
                                <w:color w:val="172B4D"/>
                                <w:sz w:val="21"/>
                                <w:szCs w:val="21"/>
                                <w:lang w:val="en-US"/>
                              </w:rPr>
                              <m:t>OJA</m:t>
                            </m:r>
                          </m:e>
                          <m:sub>
                            <m:r>
                              <w:rPr>
                                <w:rFonts w:ascii="Cambria Math" w:hAnsi="Cambria Math" w:cs="Segoe UI"/>
                                <w:color w:val="172B4D"/>
                                <w:sz w:val="21"/>
                                <w:szCs w:val="21"/>
                                <w:lang w:val="en-US"/>
                              </w:rPr>
                              <m:t>m</m:t>
                            </m:r>
                          </m:sub>
                        </m:sSub>
                      </m:e>
                    </m:d>
                  </m:e>
                </m:nary>
              </m:num>
              <m:den>
                <m:r>
                  <m:rPr>
                    <m:sty m:val="p"/>
                  </m:rPr>
                  <w:rPr>
                    <w:rFonts w:ascii="Cambria Math" w:hAnsi="Cambria Math" w:cs="Segoe UI"/>
                    <w:color w:val="172B4D"/>
                    <w:sz w:val="21"/>
                    <w:szCs w:val="21"/>
                    <w:lang w:val="en-US"/>
                  </w:rPr>
                  <m:t>3</m:t>
                </m:r>
              </m:den>
            </m:f>
          </m:num>
          <m:den>
            <m:r>
              <m:rPr>
                <m:sty m:val="p"/>
              </m:rPr>
              <w:rPr>
                <w:rFonts w:ascii="Cambria Math" w:hAnsi="Cambria Math" w:cs="Segoe UI"/>
                <w:color w:val="172B4D"/>
                <w:sz w:val="21"/>
                <w:szCs w:val="21"/>
                <w:lang w:val="en-US"/>
              </w:rPr>
              <m:t>(</m:t>
            </m:r>
            <m:f>
              <m:fPr>
                <m:ctrlPr>
                  <w:rPr>
                    <w:rFonts w:ascii="Cambria Math" w:hAnsi="Cambria Math" w:cs="Segoe UI"/>
                    <w:color w:val="172B4D"/>
                    <w:sz w:val="21"/>
                    <w:szCs w:val="21"/>
                    <w:lang w:val="en-US"/>
                  </w:rPr>
                </m:ctrlPr>
              </m:fPr>
              <m:num>
                <m:nary>
                  <m:naryPr>
                    <m:chr m:val="∑"/>
                    <m:ctrlPr>
                      <w:rPr>
                        <w:rFonts w:ascii="Cambria Math" w:hAnsi="Cambria Math" w:cs="Segoe UI"/>
                        <w:color w:val="172B4D"/>
                        <w:sz w:val="21"/>
                        <w:szCs w:val="21"/>
                        <w:lang w:val="en-US"/>
                      </w:rPr>
                    </m:ctrlPr>
                  </m:naryPr>
                  <m:sub>
                    <m:r>
                      <w:rPr>
                        <w:rFonts w:ascii="Cambria Math" w:hAnsi="Cambria Math" w:cs="Segoe UI"/>
                        <w:color w:val="172B4D"/>
                        <w:sz w:val="21"/>
                        <w:szCs w:val="21"/>
                        <w:lang w:val="en-US"/>
                      </w:rPr>
                      <m:t>m</m:t>
                    </m:r>
                    <m:r>
                      <m:rPr>
                        <m:sty m:val="p"/>
                      </m:rPr>
                      <w:rPr>
                        <w:rFonts w:ascii="Cambria Math" w:hAnsi="Cambria Math" w:cs="Segoe UI"/>
                        <w:color w:val="172B4D"/>
                        <w:sz w:val="21"/>
                        <w:szCs w:val="21"/>
                        <w:lang w:val="en-US"/>
                      </w:rPr>
                      <m:t>=1</m:t>
                    </m:r>
                  </m:sub>
                  <m:sup>
                    <m:r>
                      <m:rPr>
                        <m:sty m:val="p"/>
                      </m:rPr>
                      <w:rPr>
                        <w:rFonts w:ascii="Cambria Math" w:hAnsi="Cambria Math" w:cs="Segoe UI"/>
                        <w:color w:val="172B4D"/>
                        <w:sz w:val="21"/>
                        <w:szCs w:val="21"/>
                        <w:lang w:val="en-US"/>
                      </w:rPr>
                      <m:t>3</m:t>
                    </m:r>
                  </m:sup>
                  <m:e>
                    <m:d>
                      <m:dPr>
                        <m:ctrlPr>
                          <w:rPr>
                            <w:rFonts w:ascii="Cambria Math" w:hAnsi="Cambria Math" w:cs="Segoe UI"/>
                            <w:color w:val="172B4D"/>
                            <w:sz w:val="21"/>
                            <w:szCs w:val="21"/>
                            <w:lang w:val="en-US"/>
                          </w:rPr>
                        </m:ctrlPr>
                      </m:dPr>
                      <m:e>
                        <m:sSub>
                          <m:sSubPr>
                            <m:ctrlPr>
                              <w:rPr>
                                <w:rFonts w:ascii="Cambria Math" w:hAnsi="Cambria Math" w:cs="Segoe UI"/>
                                <w:color w:val="172B4D"/>
                                <w:sz w:val="21"/>
                                <w:szCs w:val="21"/>
                                <w:lang w:val="en-US"/>
                              </w:rPr>
                            </m:ctrlPr>
                          </m:sSubPr>
                          <m:e>
                            <m:r>
                              <w:rPr>
                                <w:rFonts w:ascii="Cambria Math" w:hAnsi="Cambria Math" w:cs="Segoe UI"/>
                                <w:color w:val="172B4D"/>
                                <w:sz w:val="21"/>
                                <w:szCs w:val="21"/>
                                <w:lang w:val="en-US"/>
                              </w:rPr>
                              <m:t>OJA</m:t>
                            </m:r>
                          </m:e>
                          <m:sub>
                            <m:r>
                              <w:rPr>
                                <w:rFonts w:ascii="Cambria Math" w:hAnsi="Cambria Math" w:cs="Segoe UI"/>
                                <w:color w:val="172B4D"/>
                                <w:sz w:val="21"/>
                                <w:szCs w:val="21"/>
                                <w:lang w:val="en-US"/>
                              </w:rPr>
                              <m:t>m</m:t>
                            </m:r>
                          </m:sub>
                        </m:sSub>
                      </m:e>
                    </m:d>
                  </m:e>
                </m:nary>
              </m:num>
              <m:den>
                <m:r>
                  <m:rPr>
                    <m:sty m:val="p"/>
                  </m:rPr>
                  <w:rPr>
                    <w:rFonts w:ascii="Cambria Math" w:hAnsi="Cambria Math" w:cs="Segoe UI"/>
                    <w:color w:val="172B4D"/>
                    <w:sz w:val="21"/>
                    <w:szCs w:val="21"/>
                    <w:lang w:val="en-US"/>
                  </w:rPr>
                  <m:t>3</m:t>
                </m:r>
              </m:den>
            </m:f>
            <m:r>
              <m:rPr>
                <m:sty m:val="p"/>
              </m:rPr>
              <w:rPr>
                <w:rFonts w:ascii="Cambria Math" w:hAnsi="Cambria Math" w:cs="Segoe UI"/>
                <w:color w:val="172B4D"/>
                <w:sz w:val="21"/>
                <w:szCs w:val="21"/>
                <w:lang w:val="en-US"/>
              </w:rPr>
              <m:t>+</m:t>
            </m:r>
            <m:sSub>
              <m:sSubPr>
                <m:ctrlPr>
                  <w:rPr>
                    <w:rFonts w:ascii="Cambria Math" w:hAnsi="Cambria Math" w:cs="Segoe UI"/>
                    <w:color w:val="172B4D"/>
                    <w:sz w:val="21"/>
                    <w:szCs w:val="21"/>
                    <w:lang w:val="en-US"/>
                  </w:rPr>
                </m:ctrlPr>
              </m:sSubPr>
              <m:e>
                <m:r>
                  <w:rPr>
                    <w:rFonts w:ascii="Cambria Math" w:hAnsi="Cambria Math" w:cs="Segoe UI"/>
                    <w:color w:val="172B4D"/>
                    <w:sz w:val="21"/>
                    <w:szCs w:val="21"/>
                    <w:lang w:val="en-US"/>
                  </w:rPr>
                  <m:t>JP</m:t>
                </m:r>
              </m:e>
              <m:sub>
                <m:r>
                  <w:rPr>
                    <w:rFonts w:ascii="Cambria Math" w:hAnsi="Cambria Math" w:cs="Segoe UI"/>
                    <w:color w:val="172B4D"/>
                    <w:sz w:val="21"/>
                    <w:szCs w:val="21"/>
                    <w:lang w:val="en-US"/>
                  </w:rPr>
                  <m:t>q</m:t>
                </m:r>
              </m:sub>
            </m:sSub>
            <m:r>
              <m:rPr>
                <m:sty m:val="p"/>
              </m:rPr>
              <w:rPr>
                <w:rFonts w:ascii="Cambria Math" w:hAnsi="Cambria Math" w:cs="Segoe UI"/>
                <w:color w:val="172B4D"/>
                <w:sz w:val="21"/>
                <w:szCs w:val="21"/>
                <w:lang w:val="en-US"/>
              </w:rPr>
              <m:t>)</m:t>
            </m:r>
          </m:den>
        </m:f>
      </m:oMath>
      <w:r w:rsidR="00B9539F" w:rsidRPr="0011348C">
        <w:rPr>
          <w:rFonts w:ascii="Segoe UI" w:hAnsi="Segoe UI" w:cs="Segoe UI"/>
          <w:color w:val="172B4D"/>
          <w:sz w:val="21"/>
          <w:szCs w:val="21"/>
          <w:lang w:val="en-US"/>
        </w:rPr>
        <w:t xml:space="preserve"> </w:t>
      </w:r>
      <w:r w:rsidR="008E2DEF">
        <w:rPr>
          <w:rFonts w:ascii="Segoe UI" w:hAnsi="Segoe UI" w:cs="Segoe UI"/>
          <w:color w:val="172B4D"/>
          <w:sz w:val="21"/>
          <w:szCs w:val="21"/>
          <w:lang w:val="en-US"/>
        </w:rPr>
        <w:tab/>
      </w:r>
      <w:r w:rsidR="008E2DEF">
        <w:rPr>
          <w:rFonts w:ascii="Segoe UI" w:hAnsi="Segoe UI" w:cs="Segoe UI"/>
          <w:color w:val="172B4D"/>
          <w:sz w:val="21"/>
          <w:szCs w:val="21"/>
          <w:lang w:val="en-US"/>
        </w:rPr>
        <w:tab/>
      </w:r>
      <w:r w:rsidR="008E2DEF">
        <w:rPr>
          <w:rFonts w:ascii="Segoe UI" w:hAnsi="Segoe UI" w:cs="Segoe UI"/>
          <w:color w:val="172B4D"/>
          <w:sz w:val="21"/>
          <w:szCs w:val="21"/>
          <w:lang w:val="en-US"/>
        </w:rPr>
        <w:tab/>
      </w:r>
      <w:r w:rsidR="008B5D09">
        <w:rPr>
          <w:rFonts w:ascii="Segoe UI" w:hAnsi="Segoe UI" w:cs="Segoe UI"/>
          <w:color w:val="172B4D"/>
          <w:sz w:val="21"/>
          <w:szCs w:val="21"/>
          <w:lang w:val="en-US"/>
        </w:rPr>
        <w:tab/>
      </w:r>
      <w:r w:rsidR="008B5D09">
        <w:rPr>
          <w:rFonts w:ascii="Segoe UI" w:hAnsi="Segoe UI" w:cs="Segoe UI"/>
          <w:color w:val="172B4D"/>
          <w:sz w:val="21"/>
          <w:szCs w:val="21"/>
          <w:lang w:val="en-US"/>
        </w:rPr>
        <w:tab/>
      </w:r>
      <w:r w:rsidR="008E2DEF">
        <w:rPr>
          <w:rFonts w:ascii="Segoe UI" w:hAnsi="Segoe UI" w:cs="Segoe UI"/>
          <w:color w:val="172B4D"/>
          <w:sz w:val="21"/>
          <w:szCs w:val="21"/>
          <w:lang w:val="en-US"/>
        </w:rPr>
        <w:tab/>
      </w:r>
      <w:r w:rsidR="008E2DEF">
        <w:rPr>
          <w:rFonts w:ascii="Segoe UI" w:hAnsi="Segoe UI" w:cs="Segoe UI"/>
          <w:color w:val="172B4D"/>
          <w:sz w:val="21"/>
          <w:szCs w:val="21"/>
          <w:lang w:val="en-US"/>
        </w:rPr>
        <w:tab/>
      </w:r>
      <w:r w:rsidR="008E2DEF">
        <w:rPr>
          <w:rFonts w:ascii="Segoe UI" w:hAnsi="Segoe UI" w:cs="Segoe UI"/>
          <w:color w:val="172B4D"/>
          <w:sz w:val="21"/>
          <w:szCs w:val="21"/>
          <w:lang w:val="en-US"/>
        </w:rPr>
        <w:tab/>
      </w:r>
      <w:r w:rsidR="008E2DEF">
        <w:rPr>
          <w:rFonts w:ascii="Segoe UI" w:hAnsi="Segoe UI" w:cs="Segoe UI"/>
          <w:color w:val="172B4D"/>
          <w:sz w:val="21"/>
          <w:szCs w:val="21"/>
          <w:lang w:val="en-US"/>
        </w:rPr>
        <w:tab/>
        <w:t>[1]</w:t>
      </w:r>
    </w:p>
    <w:p w14:paraId="6709581D" w14:textId="4691AAC2" w:rsidR="00B9539F" w:rsidRPr="008E2DEF" w:rsidRDefault="00B9539F" w:rsidP="00986417">
      <w:pPr>
        <w:jc w:val="both"/>
        <w:rPr>
          <w:rFonts w:ascii="Segoe UI" w:hAnsi="Segoe UI" w:cs="Segoe UI"/>
          <w:color w:val="172B4D"/>
          <w:sz w:val="21"/>
          <w:szCs w:val="21"/>
          <w:lang w:val="en-US"/>
        </w:rPr>
      </w:pPr>
      <w:r w:rsidRPr="00B9539F">
        <w:rPr>
          <w:rFonts w:ascii="Segoe UI" w:hAnsi="Segoe UI" w:cs="Segoe UI"/>
          <w:color w:val="172B4D"/>
          <w:sz w:val="21"/>
          <w:szCs w:val="21"/>
          <w:lang w:val="en-US"/>
        </w:rPr>
        <w:t xml:space="preserve">where  </w:t>
      </w:r>
      <m:oMath>
        <m:f>
          <m:fPr>
            <m:ctrlPr>
              <w:rPr>
                <w:rFonts w:ascii="Cambria Math" w:hAnsi="Cambria Math" w:cs="Segoe UI"/>
                <w:color w:val="172B4D"/>
                <w:sz w:val="21"/>
                <w:szCs w:val="21"/>
                <w:lang w:val="en-US"/>
              </w:rPr>
            </m:ctrlPr>
          </m:fPr>
          <m:num>
            <m:nary>
              <m:naryPr>
                <m:chr m:val="∑"/>
                <m:ctrlPr>
                  <w:rPr>
                    <w:rFonts w:ascii="Cambria Math" w:hAnsi="Cambria Math" w:cs="Segoe UI"/>
                    <w:color w:val="172B4D"/>
                    <w:sz w:val="21"/>
                    <w:szCs w:val="21"/>
                    <w:lang w:val="en-US"/>
                  </w:rPr>
                </m:ctrlPr>
              </m:naryPr>
              <m:sub>
                <m:r>
                  <w:rPr>
                    <w:rFonts w:ascii="Cambria Math" w:hAnsi="Cambria Math" w:cs="Segoe UI"/>
                    <w:color w:val="172B4D"/>
                    <w:sz w:val="21"/>
                    <w:szCs w:val="21"/>
                    <w:lang w:val="en-US"/>
                  </w:rPr>
                  <m:t>m</m:t>
                </m:r>
                <m:r>
                  <m:rPr>
                    <m:sty m:val="p"/>
                  </m:rPr>
                  <w:rPr>
                    <w:rFonts w:ascii="Cambria Math" w:hAnsi="Cambria Math" w:cs="Segoe UI"/>
                    <w:color w:val="172B4D"/>
                    <w:sz w:val="21"/>
                    <w:szCs w:val="21"/>
                    <w:lang w:val="en-US"/>
                  </w:rPr>
                  <m:t>=1</m:t>
                </m:r>
              </m:sub>
              <m:sup>
                <m:r>
                  <m:rPr>
                    <m:sty m:val="p"/>
                  </m:rPr>
                  <w:rPr>
                    <w:rFonts w:ascii="Cambria Math" w:hAnsi="Cambria Math" w:cs="Segoe UI"/>
                    <w:color w:val="172B4D"/>
                    <w:sz w:val="21"/>
                    <w:szCs w:val="21"/>
                    <w:lang w:val="en-US"/>
                  </w:rPr>
                  <m:t>3</m:t>
                </m:r>
              </m:sup>
              <m:e>
                <m:d>
                  <m:dPr>
                    <m:ctrlPr>
                      <w:rPr>
                        <w:rFonts w:ascii="Cambria Math" w:hAnsi="Cambria Math" w:cs="Segoe UI"/>
                        <w:color w:val="172B4D"/>
                        <w:sz w:val="21"/>
                        <w:szCs w:val="21"/>
                        <w:lang w:val="en-US"/>
                      </w:rPr>
                    </m:ctrlPr>
                  </m:dPr>
                  <m:e>
                    <m:sSub>
                      <m:sSubPr>
                        <m:ctrlPr>
                          <w:rPr>
                            <w:rFonts w:ascii="Cambria Math" w:hAnsi="Cambria Math" w:cs="Segoe UI"/>
                            <w:color w:val="172B4D"/>
                            <w:sz w:val="21"/>
                            <w:szCs w:val="21"/>
                            <w:lang w:val="en-US"/>
                          </w:rPr>
                        </m:ctrlPr>
                      </m:sSubPr>
                      <m:e>
                        <m:r>
                          <w:rPr>
                            <w:rFonts w:ascii="Cambria Math" w:hAnsi="Cambria Math" w:cs="Segoe UI"/>
                            <w:color w:val="172B4D"/>
                            <w:sz w:val="21"/>
                            <w:szCs w:val="21"/>
                            <w:lang w:val="en-US"/>
                          </w:rPr>
                          <m:t>OJA</m:t>
                        </m:r>
                      </m:e>
                      <m:sub>
                        <m:r>
                          <w:rPr>
                            <w:rFonts w:ascii="Cambria Math" w:hAnsi="Cambria Math" w:cs="Segoe UI"/>
                            <w:color w:val="172B4D"/>
                            <w:sz w:val="21"/>
                            <w:szCs w:val="21"/>
                            <w:lang w:val="en-US"/>
                          </w:rPr>
                          <m:t>m</m:t>
                        </m:r>
                      </m:sub>
                    </m:sSub>
                  </m:e>
                </m:d>
              </m:e>
            </m:nary>
          </m:num>
          <m:den>
            <m:r>
              <m:rPr>
                <m:sty m:val="p"/>
              </m:rPr>
              <w:rPr>
                <w:rFonts w:ascii="Cambria Math" w:hAnsi="Cambria Math" w:cs="Segoe UI"/>
                <w:color w:val="172B4D"/>
                <w:sz w:val="21"/>
                <w:szCs w:val="21"/>
                <w:lang w:val="en-US"/>
              </w:rPr>
              <m:t>3</m:t>
            </m:r>
          </m:den>
        </m:f>
      </m:oMath>
      <w:r w:rsidRPr="00B9539F">
        <w:rPr>
          <w:rFonts w:ascii="Segoe UI" w:hAnsi="Segoe UI" w:cs="Segoe UI"/>
          <w:color w:val="172B4D"/>
          <w:sz w:val="21"/>
          <w:szCs w:val="21"/>
          <w:lang w:val="en-US"/>
        </w:rPr>
        <w:t xml:space="preserve"> </w:t>
      </w:r>
      <w:r w:rsidR="0011348C">
        <w:rPr>
          <w:rFonts w:ascii="Segoe UI" w:hAnsi="Segoe UI" w:cs="Segoe UI"/>
          <w:color w:val="172B4D"/>
          <w:sz w:val="21"/>
          <w:szCs w:val="21"/>
          <w:lang w:val="en-US"/>
        </w:rPr>
        <w:t xml:space="preserve">is the </w:t>
      </w:r>
      <w:r w:rsidRPr="00B9539F">
        <w:rPr>
          <w:rFonts w:ascii="Segoe UI" w:hAnsi="Segoe UI" w:cs="Segoe UI"/>
          <w:color w:val="172B4D"/>
          <w:sz w:val="21"/>
          <w:szCs w:val="21"/>
          <w:lang w:val="en-US"/>
        </w:rPr>
        <w:t xml:space="preserve">quarterly average of monthly sum of </w:t>
      </w:r>
      <w:r w:rsidRPr="0011348C">
        <w:rPr>
          <w:rFonts w:ascii="Segoe UI" w:hAnsi="Segoe UI" w:cs="Segoe UI"/>
          <w:i/>
          <w:color w:val="172B4D"/>
          <w:sz w:val="21"/>
          <w:szCs w:val="21"/>
          <w:lang w:val="en-US"/>
        </w:rPr>
        <w:t>OJA</w:t>
      </w:r>
      <w:r w:rsidR="0011348C">
        <w:rPr>
          <w:rFonts w:ascii="Segoe UI" w:hAnsi="Segoe UI" w:cs="Segoe UI"/>
          <w:i/>
          <w:color w:val="172B4D"/>
          <w:sz w:val="21"/>
          <w:szCs w:val="21"/>
          <w:lang w:val="en-US"/>
        </w:rPr>
        <w:t>s.</w:t>
      </w:r>
    </w:p>
    <w:p w14:paraId="45190BB7" w14:textId="41D121D5" w:rsidR="00FE7732" w:rsidRPr="00E931DB" w:rsidRDefault="00FE7732" w:rsidP="00FE7732">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Some preliminary evidence comes out from the analysis broken down by economic activity sector</w:t>
      </w:r>
      <w:r>
        <w:rPr>
          <w:rFonts w:ascii="Segoe UI" w:hAnsi="Segoe UI" w:cs="Segoe UI"/>
          <w:color w:val="172B4D"/>
          <w:sz w:val="21"/>
          <w:szCs w:val="21"/>
          <w:lang w:val="en-US"/>
        </w:rPr>
        <w:t xml:space="preserve"> (Figure 1</w:t>
      </w:r>
      <w:r w:rsidR="00B87BFF">
        <w:rPr>
          <w:rFonts w:ascii="Segoe UI" w:hAnsi="Segoe UI" w:cs="Segoe UI"/>
          <w:color w:val="172B4D"/>
          <w:sz w:val="21"/>
          <w:szCs w:val="21"/>
          <w:lang w:val="en-US"/>
        </w:rPr>
        <w:t>a-1c</w:t>
      </w:r>
      <w:r>
        <w:rPr>
          <w:rFonts w:ascii="Segoe UI" w:hAnsi="Segoe UI" w:cs="Segoe UI"/>
          <w:color w:val="172B4D"/>
          <w:sz w:val="21"/>
          <w:szCs w:val="21"/>
          <w:lang w:val="en-US"/>
        </w:rPr>
        <w:t>)</w:t>
      </w:r>
      <w:r w:rsidRPr="00E931DB">
        <w:rPr>
          <w:rFonts w:ascii="Segoe UI" w:hAnsi="Segoe UI" w:cs="Segoe UI"/>
          <w:color w:val="172B4D"/>
          <w:sz w:val="21"/>
          <w:szCs w:val="21"/>
          <w:lang w:val="en-US"/>
        </w:rPr>
        <w:t>, such as the quite similar levels of the rates in Industry, with differences between the two rates, which do not exceed 0.5 percentage points. This should partly due to the important role of very big enterprises in the Italian industry sector, which, in general, use advertising on job portals as main recruitment channel. On the other hand, in the services sector higher differences between the two rates are observed. For example, OJA rate is once and a half the JV one in the Q42019. The higher differences in this sector sh</w:t>
      </w:r>
      <w:bookmarkStart w:id="2" w:name="_GoBack"/>
      <w:bookmarkEnd w:id="2"/>
      <w:r w:rsidRPr="00E931DB">
        <w:rPr>
          <w:rFonts w:ascii="Segoe UI" w:hAnsi="Segoe UI" w:cs="Segoe UI"/>
          <w:color w:val="172B4D"/>
          <w:sz w:val="21"/>
          <w:szCs w:val="21"/>
          <w:lang w:val="en-US"/>
        </w:rPr>
        <w:t xml:space="preserve">ould depend on the relevant role in the Italian service sector of small enterprises, which may prefer to make use of more informal recruitment channels. </w:t>
      </w:r>
    </w:p>
    <w:p w14:paraId="0DF3CEBA" w14:textId="77777777" w:rsidR="00FE7732" w:rsidRDefault="00FE7732" w:rsidP="004B5A24">
      <w:pPr>
        <w:pStyle w:val="Didascalia"/>
        <w:rPr>
          <w:lang w:val="en-GB"/>
        </w:rPr>
      </w:pPr>
    </w:p>
    <w:p w14:paraId="24A46E6B" w14:textId="5034A03B" w:rsidR="004B5A24" w:rsidRDefault="004B5A24" w:rsidP="004B5A24">
      <w:pPr>
        <w:pStyle w:val="Didascalia"/>
        <w:rPr>
          <w:lang w:val="en-GB"/>
        </w:rPr>
      </w:pPr>
      <w:r>
        <w:rPr>
          <w:lang w:val="en-GB"/>
        </w:rPr>
        <w:t xml:space="preserve">Figure 1a: </w:t>
      </w:r>
      <w:r w:rsidRPr="00C40BBF">
        <w:rPr>
          <w:lang w:val="en-GB"/>
        </w:rPr>
        <w:t xml:space="preserve">OJAs </w:t>
      </w:r>
      <w:r>
        <w:rPr>
          <w:lang w:val="en-GB"/>
        </w:rPr>
        <w:t>vs JV rates: Italy, Total Economy (</w:t>
      </w:r>
      <w:r w:rsidRPr="004B5A24">
        <w:rPr>
          <w:lang w:val="en-GB"/>
        </w:rPr>
        <w:t>NACE Rev. 2 economic activity sections from B to S, excluding</w:t>
      </w:r>
      <w:r>
        <w:rPr>
          <w:lang w:val="en-GB"/>
        </w:rPr>
        <w:t xml:space="preserve"> O</w:t>
      </w:r>
      <w:r w:rsidRPr="004B5A24">
        <w:rPr>
          <w:lang w:val="en-GB"/>
        </w:rPr>
        <w:t xml:space="preserve">) </w:t>
      </w:r>
    </w:p>
    <w:p w14:paraId="18C1283D" w14:textId="45774920" w:rsidR="00FE7732" w:rsidRPr="00FE7732" w:rsidRDefault="00FE7732" w:rsidP="00FE7732">
      <w:pPr>
        <w:rPr>
          <w:lang w:val="en-GB"/>
        </w:rPr>
      </w:pPr>
      <w:r w:rsidRPr="00FE7732">
        <w:rPr>
          <w:noProof/>
          <w:lang w:val="it-IT" w:eastAsia="it-IT"/>
        </w:rPr>
        <w:drawing>
          <wp:inline distT="0" distB="0" distL="0" distR="0" wp14:anchorId="5C80B884" wp14:editId="796362BC">
            <wp:extent cx="5161541" cy="3564000"/>
            <wp:effectExtent l="0" t="0" r="127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61541" cy="3564000"/>
                    </a:xfrm>
                    <a:prstGeom prst="rect">
                      <a:avLst/>
                    </a:prstGeom>
                    <a:noFill/>
                    <a:ln>
                      <a:noFill/>
                    </a:ln>
                  </pic:spPr>
                </pic:pic>
              </a:graphicData>
            </a:graphic>
          </wp:inline>
        </w:drawing>
      </w:r>
    </w:p>
    <w:p w14:paraId="7E1297BD" w14:textId="77777777" w:rsidR="00FE7732" w:rsidRDefault="00FE7732" w:rsidP="004B5A24">
      <w:pPr>
        <w:pStyle w:val="Didascalia"/>
        <w:rPr>
          <w:lang w:val="en-GB"/>
        </w:rPr>
      </w:pPr>
    </w:p>
    <w:p w14:paraId="1A497286" w14:textId="77777777" w:rsidR="00FE7732" w:rsidRDefault="00FE7732" w:rsidP="004B5A24">
      <w:pPr>
        <w:pStyle w:val="Didascalia"/>
        <w:rPr>
          <w:lang w:val="en-GB"/>
        </w:rPr>
      </w:pPr>
    </w:p>
    <w:p w14:paraId="015EAEA8" w14:textId="77777777" w:rsidR="00FE7732" w:rsidRDefault="00FE7732" w:rsidP="004B5A24">
      <w:pPr>
        <w:pStyle w:val="Didascalia"/>
        <w:rPr>
          <w:lang w:val="en-GB"/>
        </w:rPr>
      </w:pPr>
    </w:p>
    <w:p w14:paraId="51194B99" w14:textId="77777777" w:rsidR="00FE7732" w:rsidRDefault="00FE7732" w:rsidP="004B5A24">
      <w:pPr>
        <w:pStyle w:val="Didascalia"/>
        <w:rPr>
          <w:lang w:val="en-GB"/>
        </w:rPr>
      </w:pPr>
    </w:p>
    <w:p w14:paraId="30CC327D" w14:textId="753EB1BE" w:rsidR="004B5A24" w:rsidRDefault="004B5A24" w:rsidP="004B5A24">
      <w:pPr>
        <w:pStyle w:val="Didascalia"/>
        <w:rPr>
          <w:lang w:val="en-GB"/>
        </w:rPr>
      </w:pPr>
      <w:r>
        <w:rPr>
          <w:lang w:val="en-GB"/>
        </w:rPr>
        <w:lastRenderedPageBreak/>
        <w:t xml:space="preserve">Figure 1b: </w:t>
      </w:r>
      <w:r w:rsidRPr="00C40BBF">
        <w:rPr>
          <w:lang w:val="en-GB"/>
        </w:rPr>
        <w:t xml:space="preserve">OJAs </w:t>
      </w:r>
      <w:r>
        <w:rPr>
          <w:lang w:val="en-GB"/>
        </w:rPr>
        <w:t>vs JV rates: Italy, Industry (</w:t>
      </w:r>
      <w:r w:rsidRPr="004B5A24">
        <w:rPr>
          <w:lang w:val="en-GB"/>
        </w:rPr>
        <w:t xml:space="preserve">NACE Rev. 2 economic activity sections from B to </w:t>
      </w:r>
      <w:r>
        <w:rPr>
          <w:lang w:val="en-GB"/>
        </w:rPr>
        <w:t>F</w:t>
      </w:r>
      <w:r w:rsidRPr="004B5A24">
        <w:rPr>
          <w:lang w:val="en-GB"/>
        </w:rPr>
        <w:t xml:space="preserve">) </w:t>
      </w:r>
    </w:p>
    <w:p w14:paraId="59F9719D" w14:textId="504F65C4" w:rsidR="00FE7732" w:rsidRPr="00FE7732" w:rsidRDefault="00FE7732" w:rsidP="00FE7732">
      <w:pPr>
        <w:rPr>
          <w:lang w:val="en-GB"/>
        </w:rPr>
      </w:pPr>
      <w:r w:rsidRPr="00FE7732">
        <w:rPr>
          <w:noProof/>
          <w:lang w:val="it-IT" w:eastAsia="it-IT"/>
        </w:rPr>
        <w:drawing>
          <wp:inline distT="0" distB="0" distL="0" distR="0" wp14:anchorId="5A9D5F53" wp14:editId="3A9536E8">
            <wp:extent cx="5203799" cy="35280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3799" cy="3528000"/>
                    </a:xfrm>
                    <a:prstGeom prst="rect">
                      <a:avLst/>
                    </a:prstGeom>
                    <a:noFill/>
                    <a:ln>
                      <a:noFill/>
                    </a:ln>
                  </pic:spPr>
                </pic:pic>
              </a:graphicData>
            </a:graphic>
          </wp:inline>
        </w:drawing>
      </w:r>
    </w:p>
    <w:p w14:paraId="246E8BCE" w14:textId="2207B195" w:rsidR="004B5A24" w:rsidRDefault="004B5A24" w:rsidP="004B5A24">
      <w:pPr>
        <w:pStyle w:val="Didascalia"/>
        <w:rPr>
          <w:lang w:val="en-GB"/>
        </w:rPr>
      </w:pPr>
      <w:r>
        <w:rPr>
          <w:lang w:val="en-GB"/>
        </w:rPr>
        <w:t xml:space="preserve">Figure 1c: </w:t>
      </w:r>
      <w:r w:rsidRPr="00C40BBF">
        <w:rPr>
          <w:lang w:val="en-GB"/>
        </w:rPr>
        <w:t xml:space="preserve">OJAs </w:t>
      </w:r>
      <w:r>
        <w:rPr>
          <w:lang w:val="en-GB"/>
        </w:rPr>
        <w:t>vs JV rates: Italy, Industry (</w:t>
      </w:r>
      <w:r w:rsidRPr="004B5A24">
        <w:rPr>
          <w:lang w:val="en-GB"/>
        </w:rPr>
        <w:t xml:space="preserve">NACE Rev. 2 economic activity sections from </w:t>
      </w:r>
      <w:r>
        <w:rPr>
          <w:lang w:val="en-GB"/>
        </w:rPr>
        <w:t xml:space="preserve">G </w:t>
      </w:r>
      <w:r w:rsidRPr="004B5A24">
        <w:rPr>
          <w:lang w:val="en-GB"/>
        </w:rPr>
        <w:t xml:space="preserve">to </w:t>
      </w:r>
      <w:r>
        <w:rPr>
          <w:lang w:val="en-GB"/>
        </w:rPr>
        <w:t>S</w:t>
      </w:r>
      <w:r w:rsidRPr="004B5A24">
        <w:rPr>
          <w:lang w:val="en-GB"/>
        </w:rPr>
        <w:t>, excluding</w:t>
      </w:r>
      <w:r>
        <w:rPr>
          <w:lang w:val="en-GB"/>
        </w:rPr>
        <w:t xml:space="preserve"> O</w:t>
      </w:r>
      <w:r w:rsidRPr="004B5A24">
        <w:rPr>
          <w:lang w:val="en-GB"/>
        </w:rPr>
        <w:t xml:space="preserve">) </w:t>
      </w:r>
    </w:p>
    <w:p w14:paraId="1C346671" w14:textId="0CE3E862" w:rsidR="00FE7732" w:rsidRPr="00FE7732" w:rsidRDefault="00FE7732" w:rsidP="00FE7732">
      <w:pPr>
        <w:rPr>
          <w:lang w:val="en-GB"/>
        </w:rPr>
      </w:pPr>
      <w:r w:rsidRPr="00FE7732">
        <w:rPr>
          <w:noProof/>
          <w:lang w:val="it-IT" w:eastAsia="it-IT"/>
        </w:rPr>
        <w:drawing>
          <wp:inline distT="0" distB="0" distL="0" distR="0" wp14:anchorId="17218DB9" wp14:editId="45D32508">
            <wp:extent cx="5194902" cy="3528000"/>
            <wp:effectExtent l="0" t="0" r="635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94902" cy="3528000"/>
                    </a:xfrm>
                    <a:prstGeom prst="rect">
                      <a:avLst/>
                    </a:prstGeom>
                    <a:noFill/>
                    <a:ln>
                      <a:noFill/>
                    </a:ln>
                  </pic:spPr>
                </pic:pic>
              </a:graphicData>
            </a:graphic>
          </wp:inline>
        </w:drawing>
      </w:r>
    </w:p>
    <w:p w14:paraId="5D61AB53" w14:textId="3605E96E" w:rsidR="00C102C7" w:rsidRPr="00E931DB" w:rsidRDefault="00FE7732" w:rsidP="00E931DB">
      <w:pPr>
        <w:jc w:val="both"/>
        <w:rPr>
          <w:rFonts w:ascii="Segoe UI" w:hAnsi="Segoe UI" w:cs="Segoe UI"/>
          <w:color w:val="172B4D"/>
          <w:sz w:val="21"/>
          <w:szCs w:val="21"/>
          <w:lang w:val="en-US"/>
        </w:rPr>
      </w:pPr>
      <w:r>
        <w:rPr>
          <w:rFonts w:ascii="Segoe UI" w:hAnsi="Segoe UI" w:cs="Segoe UI"/>
          <w:color w:val="172B4D"/>
          <w:sz w:val="21"/>
          <w:szCs w:val="21"/>
          <w:lang w:val="en-US"/>
        </w:rPr>
        <w:t>Figure 1</w:t>
      </w:r>
      <w:r w:rsidR="00D568A1" w:rsidRPr="00E931DB">
        <w:rPr>
          <w:rFonts w:ascii="Segoe UI" w:hAnsi="Segoe UI" w:cs="Segoe UI"/>
          <w:color w:val="172B4D"/>
          <w:sz w:val="21"/>
          <w:szCs w:val="21"/>
          <w:lang w:val="en-US"/>
        </w:rPr>
        <w:t xml:space="preserve"> also show the </w:t>
      </w:r>
      <w:r w:rsidR="00C102C7" w:rsidRPr="00E931DB">
        <w:rPr>
          <w:rFonts w:ascii="Segoe UI" w:hAnsi="Segoe UI" w:cs="Segoe UI"/>
          <w:color w:val="172B4D"/>
          <w:sz w:val="21"/>
          <w:szCs w:val="21"/>
          <w:lang w:val="en-US"/>
        </w:rPr>
        <w:t>changes with respect to the same quarter of the previous year</w:t>
      </w:r>
      <w:r w:rsidR="00D568A1" w:rsidRPr="00E931DB">
        <w:rPr>
          <w:rFonts w:ascii="Segoe UI" w:hAnsi="Segoe UI" w:cs="Segoe UI"/>
          <w:color w:val="172B4D"/>
          <w:sz w:val="21"/>
          <w:szCs w:val="21"/>
          <w:lang w:val="en-US"/>
        </w:rPr>
        <w:t xml:space="preserve">, </w:t>
      </w:r>
      <w:r w:rsidR="00C102C7" w:rsidRPr="00E931DB">
        <w:rPr>
          <w:rFonts w:ascii="Segoe UI" w:hAnsi="Segoe UI" w:cs="Segoe UI"/>
          <w:color w:val="172B4D"/>
          <w:sz w:val="21"/>
          <w:szCs w:val="21"/>
          <w:lang w:val="en-US"/>
        </w:rPr>
        <w:t>even if</w:t>
      </w:r>
      <w:r w:rsidR="00D568A1" w:rsidRPr="00E931DB">
        <w:rPr>
          <w:rFonts w:ascii="Segoe UI" w:hAnsi="Segoe UI" w:cs="Segoe UI"/>
          <w:color w:val="172B4D"/>
          <w:sz w:val="21"/>
          <w:szCs w:val="21"/>
          <w:lang w:val="en-US"/>
        </w:rPr>
        <w:t xml:space="preserve"> the period available is too short to make a comparison on the dynamic</w:t>
      </w:r>
      <w:r w:rsidR="00C102C7" w:rsidRPr="00E931DB">
        <w:rPr>
          <w:rFonts w:ascii="Segoe UI" w:hAnsi="Segoe UI" w:cs="Segoe UI"/>
          <w:color w:val="172B4D"/>
          <w:sz w:val="21"/>
          <w:szCs w:val="21"/>
          <w:lang w:val="en-US"/>
        </w:rPr>
        <w:t xml:space="preserve"> of the two rates</w:t>
      </w:r>
      <w:r w:rsidR="00D568A1" w:rsidRPr="00E931DB">
        <w:rPr>
          <w:rFonts w:ascii="Segoe UI" w:hAnsi="Segoe UI" w:cs="Segoe UI"/>
          <w:color w:val="172B4D"/>
          <w:sz w:val="21"/>
          <w:szCs w:val="21"/>
          <w:lang w:val="en-US"/>
        </w:rPr>
        <w:t>.</w:t>
      </w:r>
      <w:r w:rsidR="00C102C7" w:rsidRPr="00E931DB">
        <w:rPr>
          <w:rFonts w:ascii="Segoe UI" w:hAnsi="Segoe UI" w:cs="Segoe UI"/>
          <w:color w:val="172B4D"/>
          <w:sz w:val="21"/>
          <w:szCs w:val="21"/>
          <w:lang w:val="en-US"/>
        </w:rPr>
        <w:t xml:space="preserve"> Taking into account the two sectors separately, it seems that the absolute differences between the year on year changes of the two rates are smaller in the Industry sector than in the Service one.</w:t>
      </w:r>
    </w:p>
    <w:bookmarkEnd w:id="1"/>
    <w:p w14:paraId="16DD832D" w14:textId="0666E3E0" w:rsidR="0024538F" w:rsidRDefault="0024538F" w:rsidP="005E1BEA">
      <w:pPr>
        <w:keepNext/>
        <w:jc w:val="both"/>
        <w:rPr>
          <w:rFonts w:asciiTheme="majorHAnsi" w:eastAsiaTheme="majorEastAsia" w:hAnsiTheme="majorHAnsi" w:cstheme="majorBidi"/>
          <w:color w:val="1F4D78" w:themeColor="accent1" w:themeShade="7F"/>
          <w:sz w:val="24"/>
          <w:szCs w:val="24"/>
          <w:lang w:val="en-GB"/>
        </w:rPr>
      </w:pPr>
      <w:r>
        <w:rPr>
          <w:rFonts w:asciiTheme="majorHAnsi" w:eastAsiaTheme="majorEastAsia" w:hAnsiTheme="majorHAnsi" w:cstheme="majorBidi"/>
          <w:color w:val="1F4D78" w:themeColor="accent1" w:themeShade="7F"/>
          <w:sz w:val="24"/>
          <w:szCs w:val="24"/>
          <w:lang w:val="en-GB"/>
        </w:rPr>
        <w:lastRenderedPageBreak/>
        <w:t>R</w:t>
      </w:r>
      <w:r w:rsidRPr="0024538F">
        <w:rPr>
          <w:rFonts w:asciiTheme="majorHAnsi" w:eastAsiaTheme="majorEastAsia" w:hAnsiTheme="majorHAnsi" w:cstheme="majorBidi"/>
          <w:color w:val="1F4D78" w:themeColor="accent1" w:themeShade="7F"/>
          <w:sz w:val="24"/>
          <w:szCs w:val="24"/>
          <w:lang w:val="en-GB"/>
        </w:rPr>
        <w:t>epresentativeness of the job vacancy</w:t>
      </w:r>
      <w:r w:rsidR="00825418">
        <w:rPr>
          <w:rFonts w:asciiTheme="majorHAnsi" w:eastAsiaTheme="majorEastAsia" w:hAnsiTheme="majorHAnsi" w:cstheme="majorBidi"/>
          <w:color w:val="1F4D78" w:themeColor="accent1" w:themeShade="7F"/>
          <w:sz w:val="24"/>
          <w:szCs w:val="24"/>
          <w:lang w:val="en-GB"/>
        </w:rPr>
        <w:t xml:space="preserve"> stock at specific</w:t>
      </w:r>
      <w:r w:rsidRPr="0024538F">
        <w:rPr>
          <w:rFonts w:asciiTheme="majorHAnsi" w:eastAsiaTheme="majorEastAsia" w:hAnsiTheme="majorHAnsi" w:cstheme="majorBidi"/>
          <w:color w:val="1F4D78" w:themeColor="accent1" w:themeShade="7F"/>
          <w:sz w:val="24"/>
          <w:szCs w:val="24"/>
          <w:lang w:val="en-GB"/>
        </w:rPr>
        <w:t xml:space="preserve"> reference dates </w:t>
      </w:r>
    </w:p>
    <w:p w14:paraId="52E984F1" w14:textId="65AA537D" w:rsidR="00FB4BF1" w:rsidRPr="00E931DB" w:rsidRDefault="00590226" w:rsidP="00C40BBF">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 xml:space="preserve">OJAs daily distribution during the quarter </w:t>
      </w:r>
      <w:r w:rsidR="00FD7476" w:rsidRPr="00E931DB">
        <w:rPr>
          <w:rFonts w:ascii="Segoe UI" w:hAnsi="Segoe UI" w:cs="Segoe UI"/>
          <w:color w:val="172B4D"/>
          <w:sz w:val="21"/>
          <w:szCs w:val="21"/>
          <w:lang w:val="en-US"/>
        </w:rPr>
        <w:t xml:space="preserve">can give </w:t>
      </w:r>
      <w:r w:rsidRPr="00E931DB">
        <w:rPr>
          <w:rFonts w:ascii="Segoe UI" w:hAnsi="Segoe UI" w:cs="Segoe UI"/>
          <w:color w:val="172B4D"/>
          <w:sz w:val="21"/>
          <w:szCs w:val="21"/>
          <w:lang w:val="en-US"/>
        </w:rPr>
        <w:t xml:space="preserve">useful </w:t>
      </w:r>
      <w:r w:rsidR="00FD7476" w:rsidRPr="00E931DB">
        <w:rPr>
          <w:rFonts w:ascii="Segoe UI" w:hAnsi="Segoe UI" w:cs="Segoe UI"/>
          <w:color w:val="172B4D"/>
          <w:sz w:val="21"/>
          <w:szCs w:val="21"/>
          <w:lang w:val="en-US"/>
        </w:rPr>
        <w:t xml:space="preserve">insights on the representativeness of the </w:t>
      </w:r>
      <w:r w:rsidR="00752844" w:rsidRPr="00E931DB">
        <w:rPr>
          <w:rFonts w:ascii="Segoe UI" w:hAnsi="Segoe UI" w:cs="Segoe UI"/>
          <w:color w:val="172B4D"/>
          <w:sz w:val="21"/>
          <w:szCs w:val="21"/>
          <w:lang w:val="en-US"/>
        </w:rPr>
        <w:t xml:space="preserve">vacancy stock </w:t>
      </w:r>
      <w:r w:rsidR="00FD7476" w:rsidRPr="00E931DB">
        <w:rPr>
          <w:rFonts w:ascii="Segoe UI" w:hAnsi="Segoe UI" w:cs="Segoe UI"/>
          <w:color w:val="172B4D"/>
          <w:sz w:val="21"/>
          <w:szCs w:val="21"/>
          <w:lang w:val="en-US"/>
        </w:rPr>
        <w:t xml:space="preserve">at </w:t>
      </w:r>
      <w:r w:rsidR="00752844" w:rsidRPr="00E931DB">
        <w:rPr>
          <w:rFonts w:ascii="Segoe UI" w:hAnsi="Segoe UI" w:cs="Segoe UI"/>
          <w:color w:val="172B4D"/>
          <w:sz w:val="21"/>
          <w:szCs w:val="21"/>
          <w:lang w:val="en-US"/>
        </w:rPr>
        <w:t>the</w:t>
      </w:r>
      <w:r w:rsidR="00FD7476" w:rsidRPr="00E931DB">
        <w:rPr>
          <w:rFonts w:ascii="Segoe UI" w:hAnsi="Segoe UI" w:cs="Segoe UI"/>
          <w:color w:val="172B4D"/>
          <w:sz w:val="21"/>
          <w:szCs w:val="21"/>
          <w:lang w:val="en-US"/>
        </w:rPr>
        <w:t xml:space="preserve"> specific reference date</w:t>
      </w:r>
      <w:r w:rsidR="00752844" w:rsidRPr="00E931DB">
        <w:rPr>
          <w:rFonts w:ascii="Segoe UI" w:hAnsi="Segoe UI" w:cs="Segoe UI"/>
          <w:color w:val="172B4D"/>
          <w:sz w:val="21"/>
          <w:szCs w:val="21"/>
          <w:lang w:val="en-US"/>
        </w:rPr>
        <w:t>s</w:t>
      </w:r>
      <w:r w:rsidR="00FD7476" w:rsidRPr="00E931DB">
        <w:rPr>
          <w:rFonts w:ascii="Segoe UI" w:hAnsi="Segoe UI" w:cs="Segoe UI"/>
          <w:color w:val="172B4D"/>
          <w:sz w:val="21"/>
          <w:szCs w:val="21"/>
          <w:lang w:val="en-US"/>
        </w:rPr>
        <w:t xml:space="preserve"> used in the current </w:t>
      </w:r>
      <w:r w:rsidR="00752844" w:rsidRPr="00E931DB">
        <w:rPr>
          <w:rFonts w:ascii="Segoe UI" w:hAnsi="Segoe UI" w:cs="Segoe UI"/>
          <w:color w:val="172B4D"/>
          <w:sz w:val="21"/>
          <w:szCs w:val="21"/>
          <w:lang w:val="en-US"/>
        </w:rPr>
        <w:t xml:space="preserve">job vacancy </w:t>
      </w:r>
      <w:r w:rsidR="00FD7476" w:rsidRPr="00E931DB">
        <w:rPr>
          <w:rFonts w:ascii="Segoe UI" w:hAnsi="Segoe UI" w:cs="Segoe UI"/>
          <w:color w:val="172B4D"/>
          <w:sz w:val="21"/>
          <w:szCs w:val="21"/>
          <w:lang w:val="en-US"/>
        </w:rPr>
        <w:t>surveys.</w:t>
      </w:r>
      <w:r w:rsidR="00C40BBF" w:rsidRPr="00E931DB">
        <w:rPr>
          <w:rFonts w:ascii="Segoe UI" w:hAnsi="Segoe UI" w:cs="Segoe UI"/>
          <w:color w:val="172B4D"/>
          <w:sz w:val="21"/>
          <w:szCs w:val="21"/>
          <w:lang w:val="en-US"/>
        </w:rPr>
        <w:t xml:space="preserve"> </w:t>
      </w:r>
    </w:p>
    <w:p w14:paraId="67A65DF0" w14:textId="78AE1123" w:rsidR="00C40BBF" w:rsidRPr="00E931DB" w:rsidRDefault="00C40BBF" w:rsidP="00C40BBF">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 xml:space="preserve">In particular, </w:t>
      </w:r>
      <w:r w:rsidR="0035791B" w:rsidRPr="00E931DB">
        <w:rPr>
          <w:rFonts w:ascii="Segoe UI" w:hAnsi="Segoe UI" w:cs="Segoe UI"/>
          <w:color w:val="172B4D"/>
          <w:sz w:val="21"/>
          <w:szCs w:val="21"/>
          <w:lang w:val="en-US"/>
        </w:rPr>
        <w:t>OJAs can show whether,</w:t>
      </w:r>
      <w:r w:rsidRPr="00E931DB">
        <w:rPr>
          <w:rFonts w:ascii="Segoe UI" w:hAnsi="Segoe UI" w:cs="Segoe UI"/>
          <w:color w:val="172B4D"/>
          <w:sz w:val="21"/>
          <w:szCs w:val="21"/>
          <w:lang w:val="en-US"/>
        </w:rPr>
        <w:t xml:space="preserve"> </w:t>
      </w:r>
      <w:r w:rsidR="0035791B" w:rsidRPr="00E931DB">
        <w:rPr>
          <w:rFonts w:ascii="Segoe UI" w:hAnsi="Segoe UI" w:cs="Segoe UI"/>
          <w:color w:val="172B4D"/>
          <w:sz w:val="21"/>
          <w:szCs w:val="21"/>
          <w:lang w:val="en-US"/>
        </w:rPr>
        <w:t>and to what extent, the single reference</w:t>
      </w:r>
      <w:r w:rsidRPr="00E931DB">
        <w:rPr>
          <w:rFonts w:ascii="Segoe UI" w:hAnsi="Segoe UI" w:cs="Segoe UI"/>
          <w:color w:val="172B4D"/>
          <w:sz w:val="21"/>
          <w:szCs w:val="21"/>
          <w:lang w:val="en-US"/>
        </w:rPr>
        <w:t xml:space="preserve"> date</w:t>
      </w:r>
      <w:r w:rsidR="0035791B" w:rsidRPr="00E931DB">
        <w:rPr>
          <w:rFonts w:ascii="Segoe UI" w:hAnsi="Segoe UI" w:cs="Segoe UI"/>
          <w:color w:val="172B4D"/>
          <w:sz w:val="21"/>
          <w:szCs w:val="21"/>
          <w:lang w:val="en-US"/>
        </w:rPr>
        <w:t xml:space="preserve"> used</w:t>
      </w:r>
      <w:r w:rsidRPr="00E931DB">
        <w:rPr>
          <w:rFonts w:ascii="Segoe UI" w:hAnsi="Segoe UI" w:cs="Segoe UI"/>
          <w:color w:val="172B4D"/>
          <w:sz w:val="21"/>
          <w:szCs w:val="21"/>
          <w:lang w:val="en-US"/>
        </w:rPr>
        <w:t xml:space="preserve"> is representative for the quarter, since the flow of vacancies opened and closed during the quarter </w:t>
      </w:r>
      <w:r w:rsidR="0035791B" w:rsidRPr="00E931DB">
        <w:rPr>
          <w:rFonts w:ascii="Segoe UI" w:hAnsi="Segoe UI" w:cs="Segoe UI"/>
          <w:color w:val="172B4D"/>
          <w:sz w:val="21"/>
          <w:szCs w:val="21"/>
          <w:lang w:val="en-US"/>
        </w:rPr>
        <w:t>can</w:t>
      </w:r>
      <w:r w:rsidRPr="00E931DB">
        <w:rPr>
          <w:rFonts w:ascii="Segoe UI" w:hAnsi="Segoe UI" w:cs="Segoe UI"/>
          <w:color w:val="172B4D"/>
          <w:sz w:val="21"/>
          <w:szCs w:val="21"/>
          <w:lang w:val="en-US"/>
        </w:rPr>
        <w:t xml:space="preserve">not </w:t>
      </w:r>
      <w:r w:rsidR="0035791B" w:rsidRPr="00E931DB">
        <w:rPr>
          <w:rFonts w:ascii="Segoe UI" w:hAnsi="Segoe UI" w:cs="Segoe UI"/>
          <w:color w:val="172B4D"/>
          <w:sz w:val="21"/>
          <w:szCs w:val="21"/>
          <w:lang w:val="en-US"/>
        </w:rPr>
        <w:t xml:space="preserve">be fully </w:t>
      </w:r>
      <w:r w:rsidRPr="00E931DB">
        <w:rPr>
          <w:rFonts w:ascii="Segoe UI" w:hAnsi="Segoe UI" w:cs="Segoe UI"/>
          <w:color w:val="172B4D"/>
          <w:sz w:val="21"/>
          <w:szCs w:val="21"/>
          <w:lang w:val="en-US"/>
        </w:rPr>
        <w:t xml:space="preserve">captured from a single </w:t>
      </w:r>
      <w:r w:rsidR="0035791B" w:rsidRPr="00E931DB">
        <w:rPr>
          <w:rFonts w:ascii="Segoe UI" w:hAnsi="Segoe UI" w:cs="Segoe UI"/>
          <w:color w:val="172B4D"/>
          <w:sz w:val="21"/>
          <w:szCs w:val="21"/>
          <w:lang w:val="en-US"/>
        </w:rPr>
        <w:t xml:space="preserve">specific </w:t>
      </w:r>
      <w:r w:rsidRPr="00E931DB">
        <w:rPr>
          <w:rFonts w:ascii="Segoe UI" w:hAnsi="Segoe UI" w:cs="Segoe UI"/>
          <w:color w:val="172B4D"/>
          <w:sz w:val="21"/>
          <w:szCs w:val="21"/>
          <w:lang w:val="en-US"/>
        </w:rPr>
        <w:t xml:space="preserve">stock. </w:t>
      </w:r>
      <w:r w:rsidR="0035791B" w:rsidRPr="00E931DB">
        <w:rPr>
          <w:rFonts w:ascii="Segoe UI" w:hAnsi="Segoe UI" w:cs="Segoe UI"/>
          <w:color w:val="172B4D"/>
          <w:sz w:val="21"/>
          <w:szCs w:val="21"/>
          <w:lang w:val="en-US"/>
        </w:rPr>
        <w:t>It is especially true</w:t>
      </w:r>
      <w:r w:rsidR="00F45816" w:rsidRPr="00E931DB">
        <w:rPr>
          <w:rFonts w:ascii="Segoe UI" w:hAnsi="Segoe UI" w:cs="Segoe UI"/>
          <w:color w:val="172B4D"/>
          <w:sz w:val="21"/>
          <w:szCs w:val="21"/>
          <w:lang w:val="en-US"/>
        </w:rPr>
        <w:t xml:space="preserve"> during </w:t>
      </w:r>
      <w:r w:rsidR="0035791B" w:rsidRPr="00E931DB">
        <w:rPr>
          <w:rFonts w:ascii="Segoe UI" w:hAnsi="Segoe UI" w:cs="Segoe UI"/>
          <w:color w:val="172B4D"/>
          <w:sz w:val="21"/>
          <w:szCs w:val="21"/>
          <w:lang w:val="en-US"/>
        </w:rPr>
        <w:t>very peculiar period</w:t>
      </w:r>
      <w:r w:rsidR="00F45816" w:rsidRPr="00E931DB">
        <w:rPr>
          <w:rFonts w:ascii="Segoe UI" w:hAnsi="Segoe UI" w:cs="Segoe UI"/>
          <w:color w:val="172B4D"/>
          <w:sz w:val="21"/>
          <w:szCs w:val="21"/>
          <w:lang w:val="en-US"/>
        </w:rPr>
        <w:t>,</w:t>
      </w:r>
      <w:r w:rsidR="0035791B" w:rsidRPr="00E931DB">
        <w:rPr>
          <w:rFonts w:ascii="Segoe UI" w:hAnsi="Segoe UI" w:cs="Segoe UI"/>
          <w:color w:val="172B4D"/>
          <w:sz w:val="21"/>
          <w:szCs w:val="21"/>
          <w:lang w:val="en-US"/>
        </w:rPr>
        <w:t xml:space="preserve"> </w:t>
      </w:r>
      <w:r w:rsidR="00F45816" w:rsidRPr="00E931DB">
        <w:rPr>
          <w:rFonts w:ascii="Segoe UI" w:hAnsi="Segoe UI" w:cs="Segoe UI"/>
          <w:color w:val="172B4D"/>
          <w:sz w:val="21"/>
          <w:szCs w:val="21"/>
          <w:lang w:val="en-US"/>
        </w:rPr>
        <w:t>such as the COVID-19 emergency months, when the</w:t>
      </w:r>
      <w:r w:rsidRPr="00E931DB">
        <w:rPr>
          <w:rFonts w:ascii="Segoe UI" w:hAnsi="Segoe UI" w:cs="Segoe UI"/>
          <w:color w:val="172B4D"/>
          <w:sz w:val="21"/>
          <w:szCs w:val="21"/>
          <w:lang w:val="en-US"/>
        </w:rPr>
        <w:t xml:space="preserve"> </w:t>
      </w:r>
      <w:r w:rsidR="00F45816" w:rsidRPr="00E931DB">
        <w:rPr>
          <w:rFonts w:ascii="Segoe UI" w:hAnsi="Segoe UI" w:cs="Segoe UI"/>
          <w:color w:val="172B4D"/>
          <w:sz w:val="21"/>
          <w:szCs w:val="21"/>
          <w:lang w:val="en-US"/>
        </w:rPr>
        <w:t xml:space="preserve">single </w:t>
      </w:r>
      <w:r w:rsidRPr="00E931DB">
        <w:rPr>
          <w:rFonts w:ascii="Segoe UI" w:hAnsi="Segoe UI" w:cs="Segoe UI"/>
          <w:color w:val="172B4D"/>
          <w:sz w:val="21"/>
          <w:szCs w:val="21"/>
          <w:lang w:val="en-US"/>
        </w:rPr>
        <w:t>reference date</w:t>
      </w:r>
      <w:r w:rsidR="00F45816" w:rsidRPr="00E931DB">
        <w:rPr>
          <w:rFonts w:ascii="Segoe UI" w:hAnsi="Segoe UI" w:cs="Segoe UI"/>
          <w:color w:val="172B4D"/>
          <w:sz w:val="21"/>
          <w:szCs w:val="21"/>
          <w:lang w:val="en-US"/>
        </w:rPr>
        <w:t>s</w:t>
      </w:r>
      <w:r w:rsidRPr="00E931DB">
        <w:rPr>
          <w:rFonts w:ascii="Segoe UI" w:hAnsi="Segoe UI" w:cs="Segoe UI"/>
          <w:color w:val="172B4D"/>
          <w:sz w:val="21"/>
          <w:szCs w:val="21"/>
          <w:lang w:val="en-US"/>
        </w:rPr>
        <w:t xml:space="preserve"> </w:t>
      </w:r>
      <w:r w:rsidR="00F45816" w:rsidRPr="00E931DB">
        <w:rPr>
          <w:rFonts w:ascii="Segoe UI" w:hAnsi="Segoe UI" w:cs="Segoe UI"/>
          <w:color w:val="172B4D"/>
          <w:sz w:val="21"/>
          <w:szCs w:val="21"/>
          <w:lang w:val="en-US"/>
        </w:rPr>
        <w:t xml:space="preserve">used in the official surveys </w:t>
      </w:r>
      <w:r w:rsidRPr="00E931DB">
        <w:rPr>
          <w:rFonts w:ascii="Segoe UI" w:hAnsi="Segoe UI" w:cs="Segoe UI"/>
          <w:color w:val="172B4D"/>
          <w:sz w:val="21"/>
          <w:szCs w:val="21"/>
          <w:lang w:val="en-US"/>
        </w:rPr>
        <w:t>f</w:t>
      </w:r>
      <w:r w:rsidR="00F45816" w:rsidRPr="00E931DB">
        <w:rPr>
          <w:rFonts w:ascii="Segoe UI" w:hAnsi="Segoe UI" w:cs="Segoe UI"/>
          <w:color w:val="172B4D"/>
          <w:sz w:val="21"/>
          <w:szCs w:val="21"/>
          <w:lang w:val="en-US"/>
        </w:rPr>
        <w:t>e</w:t>
      </w:r>
      <w:r w:rsidRPr="00E931DB">
        <w:rPr>
          <w:rFonts w:ascii="Segoe UI" w:hAnsi="Segoe UI" w:cs="Segoe UI"/>
          <w:color w:val="172B4D"/>
          <w:sz w:val="21"/>
          <w:szCs w:val="21"/>
          <w:lang w:val="en-US"/>
        </w:rPr>
        <w:t>ll</w:t>
      </w:r>
      <w:r w:rsidR="00F45816" w:rsidRPr="00E931DB">
        <w:rPr>
          <w:rFonts w:ascii="Segoe UI" w:hAnsi="Segoe UI" w:cs="Segoe UI"/>
          <w:color w:val="172B4D"/>
          <w:sz w:val="21"/>
          <w:szCs w:val="21"/>
          <w:lang w:val="en-US"/>
        </w:rPr>
        <w:t xml:space="preserve"> </w:t>
      </w:r>
      <w:r w:rsidRPr="00E931DB">
        <w:rPr>
          <w:rFonts w:ascii="Segoe UI" w:hAnsi="Segoe UI" w:cs="Segoe UI"/>
          <w:color w:val="172B4D"/>
          <w:sz w:val="21"/>
          <w:szCs w:val="21"/>
          <w:lang w:val="en-US"/>
        </w:rPr>
        <w:t>during the enterprise total lockdown.</w:t>
      </w:r>
    </w:p>
    <w:p w14:paraId="74315778" w14:textId="36B002C0" w:rsidR="00FB4BF1" w:rsidRPr="00E931DB" w:rsidRDefault="00FB4BF1" w:rsidP="00FB4BF1">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 xml:space="preserve">Therefore, it is worthwhile analysing the OJAs daily distribution in order to define the best reference dates of the job vacancy official survey collection, or at least, in order to better know the limits of the currently used reference dates. </w:t>
      </w:r>
    </w:p>
    <w:p w14:paraId="7E177F6F" w14:textId="154D126C" w:rsidR="00F65A7D" w:rsidRPr="00E931DB" w:rsidRDefault="00F65A7D" w:rsidP="00F27F4A">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 xml:space="preserve">Figure 1 shows </w:t>
      </w:r>
      <w:r w:rsidR="00F27F4A" w:rsidRPr="00E931DB">
        <w:rPr>
          <w:rFonts w:ascii="Segoe UI" w:hAnsi="Segoe UI" w:cs="Segoe UI"/>
          <w:color w:val="172B4D"/>
          <w:sz w:val="21"/>
          <w:szCs w:val="21"/>
          <w:lang w:val="en-US"/>
        </w:rPr>
        <w:t xml:space="preserve">the Italian daily OJAs distribution during the </w:t>
      </w:r>
      <w:r w:rsidR="001941F9" w:rsidRPr="00E931DB">
        <w:rPr>
          <w:rFonts w:ascii="Segoe UI" w:hAnsi="Segoe UI" w:cs="Segoe UI"/>
          <w:color w:val="172B4D"/>
          <w:sz w:val="21"/>
          <w:szCs w:val="21"/>
          <w:lang w:val="en-US"/>
        </w:rPr>
        <w:t xml:space="preserve">fourth </w:t>
      </w:r>
      <w:r w:rsidR="00F27F4A" w:rsidRPr="00E931DB">
        <w:rPr>
          <w:rFonts w:ascii="Segoe UI" w:hAnsi="Segoe UI" w:cs="Segoe UI"/>
          <w:color w:val="172B4D"/>
          <w:sz w:val="21"/>
          <w:szCs w:val="21"/>
          <w:lang w:val="en-US"/>
        </w:rPr>
        <w:t>quarter</w:t>
      </w:r>
      <w:r w:rsidRPr="00E931DB">
        <w:rPr>
          <w:rFonts w:ascii="Segoe UI" w:hAnsi="Segoe UI" w:cs="Segoe UI"/>
          <w:color w:val="172B4D"/>
          <w:sz w:val="21"/>
          <w:szCs w:val="21"/>
          <w:lang w:val="en-US"/>
        </w:rPr>
        <w:t>s of 2019. The Italian job vacancy official survey collect</w:t>
      </w:r>
      <w:r w:rsidR="001941F9" w:rsidRPr="00E931DB">
        <w:rPr>
          <w:rFonts w:ascii="Segoe UI" w:hAnsi="Segoe UI" w:cs="Segoe UI"/>
          <w:color w:val="172B4D"/>
          <w:sz w:val="21"/>
          <w:szCs w:val="21"/>
          <w:lang w:val="en-US"/>
        </w:rPr>
        <w:t>s</w:t>
      </w:r>
      <w:r w:rsidRPr="00E931DB">
        <w:rPr>
          <w:rFonts w:ascii="Segoe UI" w:hAnsi="Segoe UI" w:cs="Segoe UI"/>
          <w:color w:val="172B4D"/>
          <w:sz w:val="21"/>
          <w:szCs w:val="21"/>
          <w:lang w:val="en-US"/>
        </w:rPr>
        <w:t xml:space="preserve"> vacancies at the last calendar day of the quarter.</w:t>
      </w:r>
    </w:p>
    <w:p w14:paraId="541FF9BD" w14:textId="35EA4C83" w:rsidR="00F65A7D" w:rsidRPr="00E931DB" w:rsidRDefault="00511748" w:rsidP="00F65A7D">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T</w:t>
      </w:r>
      <w:r w:rsidR="00F27F4A" w:rsidRPr="00E931DB">
        <w:rPr>
          <w:rFonts w:ascii="Segoe UI" w:hAnsi="Segoe UI" w:cs="Segoe UI"/>
          <w:color w:val="172B4D"/>
          <w:sz w:val="21"/>
          <w:szCs w:val="21"/>
          <w:lang w:val="en-US"/>
        </w:rPr>
        <w:t xml:space="preserve">here is no </w:t>
      </w:r>
      <w:r w:rsidRPr="00E931DB">
        <w:rPr>
          <w:rFonts w:ascii="Segoe UI" w:hAnsi="Segoe UI" w:cs="Segoe UI"/>
          <w:color w:val="172B4D"/>
          <w:sz w:val="21"/>
          <w:szCs w:val="21"/>
          <w:lang w:val="en-US"/>
        </w:rPr>
        <w:t xml:space="preserve">a clear </w:t>
      </w:r>
      <w:r w:rsidR="00F27F4A" w:rsidRPr="00E931DB">
        <w:rPr>
          <w:rFonts w:ascii="Segoe UI" w:hAnsi="Segoe UI" w:cs="Segoe UI"/>
          <w:color w:val="172B4D"/>
          <w:sz w:val="21"/>
          <w:szCs w:val="21"/>
          <w:lang w:val="en-US"/>
        </w:rPr>
        <w:t xml:space="preserve">evidence of a </w:t>
      </w:r>
      <w:r w:rsidRPr="00E931DB">
        <w:rPr>
          <w:rFonts w:ascii="Segoe UI" w:hAnsi="Segoe UI" w:cs="Segoe UI"/>
          <w:color w:val="172B4D"/>
          <w:sz w:val="21"/>
          <w:szCs w:val="21"/>
          <w:lang w:val="en-US"/>
        </w:rPr>
        <w:t xml:space="preserve">defined </w:t>
      </w:r>
      <w:r w:rsidR="00F65A7D" w:rsidRPr="00E931DB">
        <w:rPr>
          <w:rFonts w:ascii="Segoe UI" w:hAnsi="Segoe UI" w:cs="Segoe UI"/>
          <w:color w:val="172B4D"/>
          <w:sz w:val="21"/>
          <w:szCs w:val="21"/>
          <w:lang w:val="en-US"/>
        </w:rPr>
        <w:t xml:space="preserve">OJAs </w:t>
      </w:r>
      <w:r w:rsidR="00F27F4A" w:rsidRPr="00E931DB">
        <w:rPr>
          <w:rFonts w:ascii="Segoe UI" w:hAnsi="Segoe UI" w:cs="Segoe UI"/>
          <w:color w:val="172B4D"/>
          <w:sz w:val="21"/>
          <w:szCs w:val="21"/>
          <w:lang w:val="en-US"/>
        </w:rPr>
        <w:t xml:space="preserve">daily pattern </w:t>
      </w:r>
      <w:r w:rsidR="00F65A7D" w:rsidRPr="00E931DB">
        <w:rPr>
          <w:rFonts w:ascii="Segoe UI" w:hAnsi="Segoe UI" w:cs="Segoe UI"/>
          <w:color w:val="172B4D"/>
          <w:sz w:val="21"/>
          <w:szCs w:val="21"/>
          <w:lang w:val="en-US"/>
        </w:rPr>
        <w:t>during</w:t>
      </w:r>
      <w:r w:rsidR="00F27F4A" w:rsidRPr="00E931DB">
        <w:rPr>
          <w:rFonts w:ascii="Segoe UI" w:hAnsi="Segoe UI" w:cs="Segoe UI"/>
          <w:color w:val="172B4D"/>
          <w:sz w:val="21"/>
          <w:szCs w:val="21"/>
          <w:lang w:val="en-US"/>
        </w:rPr>
        <w:t xml:space="preserve"> </w:t>
      </w:r>
      <w:r w:rsidR="00FB4BF1" w:rsidRPr="00E931DB">
        <w:rPr>
          <w:rFonts w:ascii="Segoe UI" w:hAnsi="Segoe UI" w:cs="Segoe UI"/>
          <w:color w:val="172B4D"/>
          <w:sz w:val="21"/>
          <w:szCs w:val="21"/>
          <w:lang w:val="en-US"/>
        </w:rPr>
        <w:t>each month</w:t>
      </w:r>
      <w:r w:rsidR="00BC68E0" w:rsidRPr="00E931DB">
        <w:rPr>
          <w:rFonts w:ascii="Segoe UI" w:hAnsi="Segoe UI" w:cs="Segoe UI"/>
          <w:color w:val="172B4D"/>
          <w:sz w:val="21"/>
          <w:szCs w:val="21"/>
          <w:lang w:val="en-US"/>
        </w:rPr>
        <w:t>.</w:t>
      </w:r>
      <w:r w:rsidR="00F65A7D" w:rsidRPr="00E931DB">
        <w:rPr>
          <w:rFonts w:ascii="Segoe UI" w:hAnsi="Segoe UI" w:cs="Segoe UI"/>
          <w:color w:val="172B4D"/>
          <w:sz w:val="21"/>
          <w:szCs w:val="21"/>
          <w:lang w:val="en-US"/>
        </w:rPr>
        <w:t xml:space="preserve"> </w:t>
      </w:r>
      <w:r w:rsidRPr="00E931DB">
        <w:rPr>
          <w:rFonts w:ascii="Segoe UI" w:hAnsi="Segoe UI" w:cs="Segoe UI"/>
          <w:color w:val="172B4D"/>
          <w:sz w:val="21"/>
          <w:szCs w:val="21"/>
          <w:lang w:val="en-US"/>
        </w:rPr>
        <w:t>In addition to this</w:t>
      </w:r>
      <w:r w:rsidR="00F65A7D" w:rsidRPr="00E931DB">
        <w:rPr>
          <w:rFonts w:ascii="Segoe UI" w:hAnsi="Segoe UI" w:cs="Segoe UI"/>
          <w:color w:val="172B4D"/>
          <w:sz w:val="21"/>
          <w:szCs w:val="21"/>
          <w:lang w:val="en-US"/>
        </w:rPr>
        <w:t>, the</w:t>
      </w:r>
      <w:r w:rsidR="00F27F4A" w:rsidRPr="00E931DB">
        <w:rPr>
          <w:rFonts w:ascii="Segoe UI" w:hAnsi="Segoe UI" w:cs="Segoe UI"/>
          <w:color w:val="172B4D"/>
          <w:sz w:val="21"/>
          <w:szCs w:val="21"/>
          <w:lang w:val="en-US"/>
        </w:rPr>
        <w:t xml:space="preserve"> “best capturing dates” during the quarter are difficult to be detected and there is no</w:t>
      </w:r>
      <w:r w:rsidR="00F65A7D" w:rsidRPr="00E931DB">
        <w:rPr>
          <w:rFonts w:ascii="Segoe UI" w:hAnsi="Segoe UI" w:cs="Segoe UI"/>
          <w:color w:val="172B4D"/>
          <w:sz w:val="21"/>
          <w:szCs w:val="21"/>
          <w:lang w:val="en-US"/>
        </w:rPr>
        <w:t>t a</w:t>
      </w:r>
      <w:r w:rsidR="00F27F4A" w:rsidRPr="00E931DB">
        <w:rPr>
          <w:rFonts w:ascii="Segoe UI" w:hAnsi="Segoe UI" w:cs="Segoe UI"/>
          <w:color w:val="172B4D"/>
          <w:sz w:val="21"/>
          <w:szCs w:val="21"/>
          <w:lang w:val="en-US"/>
        </w:rPr>
        <w:t xml:space="preserve"> strong signal supporting a change </w:t>
      </w:r>
      <w:r w:rsidR="00F65A7D" w:rsidRPr="00E931DB">
        <w:rPr>
          <w:rFonts w:ascii="Segoe UI" w:hAnsi="Segoe UI" w:cs="Segoe UI"/>
          <w:color w:val="172B4D"/>
          <w:sz w:val="21"/>
          <w:szCs w:val="21"/>
          <w:lang w:val="en-US"/>
        </w:rPr>
        <w:t xml:space="preserve">from the currently used </w:t>
      </w:r>
      <w:r w:rsidR="00F27F4A" w:rsidRPr="00E931DB">
        <w:rPr>
          <w:rFonts w:ascii="Segoe UI" w:hAnsi="Segoe UI" w:cs="Segoe UI"/>
          <w:color w:val="172B4D"/>
          <w:sz w:val="21"/>
          <w:szCs w:val="21"/>
          <w:lang w:val="en-US"/>
        </w:rPr>
        <w:t xml:space="preserve">reference date </w:t>
      </w:r>
      <w:r w:rsidR="00F65A7D" w:rsidRPr="00E931DB">
        <w:rPr>
          <w:rFonts w:ascii="Segoe UI" w:hAnsi="Segoe UI" w:cs="Segoe UI"/>
          <w:color w:val="172B4D"/>
          <w:sz w:val="21"/>
          <w:szCs w:val="21"/>
          <w:lang w:val="en-US"/>
        </w:rPr>
        <w:t xml:space="preserve">to another single one date </w:t>
      </w:r>
      <w:r w:rsidR="00F27F4A" w:rsidRPr="00E931DB">
        <w:rPr>
          <w:rFonts w:ascii="Segoe UI" w:hAnsi="Segoe UI" w:cs="Segoe UI"/>
          <w:color w:val="172B4D"/>
          <w:sz w:val="21"/>
          <w:szCs w:val="21"/>
          <w:lang w:val="en-US"/>
        </w:rPr>
        <w:t xml:space="preserve">for the Italian </w:t>
      </w:r>
      <w:r w:rsidR="00F65A7D" w:rsidRPr="00E931DB">
        <w:rPr>
          <w:rFonts w:ascii="Segoe UI" w:hAnsi="Segoe UI" w:cs="Segoe UI"/>
          <w:color w:val="172B4D"/>
          <w:sz w:val="21"/>
          <w:szCs w:val="21"/>
          <w:lang w:val="en-US"/>
        </w:rPr>
        <w:t xml:space="preserve">vacancy </w:t>
      </w:r>
      <w:r w:rsidR="00F27F4A" w:rsidRPr="00E931DB">
        <w:rPr>
          <w:rFonts w:ascii="Segoe UI" w:hAnsi="Segoe UI" w:cs="Segoe UI"/>
          <w:color w:val="172B4D"/>
          <w:sz w:val="21"/>
          <w:szCs w:val="21"/>
          <w:lang w:val="en-US"/>
        </w:rPr>
        <w:t>survey</w:t>
      </w:r>
      <w:r w:rsidR="00F65A7D" w:rsidRPr="00E931DB">
        <w:rPr>
          <w:rFonts w:ascii="Segoe UI" w:hAnsi="Segoe UI" w:cs="Segoe UI"/>
          <w:color w:val="172B4D"/>
          <w:sz w:val="21"/>
          <w:szCs w:val="21"/>
          <w:lang w:val="en-US"/>
        </w:rPr>
        <w:t xml:space="preserve">. It should be better moving from </w:t>
      </w:r>
      <w:r w:rsidR="00F27F4A" w:rsidRPr="00E931DB">
        <w:rPr>
          <w:rFonts w:ascii="Segoe UI" w:hAnsi="Segoe UI" w:cs="Segoe UI"/>
          <w:color w:val="172B4D"/>
          <w:sz w:val="21"/>
          <w:szCs w:val="21"/>
          <w:lang w:val="en-US"/>
        </w:rPr>
        <w:t xml:space="preserve">the last calendar day </w:t>
      </w:r>
      <w:r w:rsidR="00F65A7D" w:rsidRPr="00E931DB">
        <w:rPr>
          <w:rFonts w:ascii="Segoe UI" w:hAnsi="Segoe UI" w:cs="Segoe UI"/>
          <w:color w:val="172B4D"/>
          <w:sz w:val="21"/>
          <w:szCs w:val="21"/>
          <w:lang w:val="en-US"/>
        </w:rPr>
        <w:t xml:space="preserve">of the quarter </w:t>
      </w:r>
      <w:r w:rsidR="00F27F4A" w:rsidRPr="00E931DB">
        <w:rPr>
          <w:rFonts w:ascii="Segoe UI" w:hAnsi="Segoe UI" w:cs="Segoe UI"/>
          <w:color w:val="172B4D"/>
          <w:sz w:val="21"/>
          <w:szCs w:val="21"/>
          <w:lang w:val="en-US"/>
        </w:rPr>
        <w:t xml:space="preserve">to </w:t>
      </w:r>
      <w:r w:rsidR="00F65A7D" w:rsidRPr="00E931DB">
        <w:rPr>
          <w:rFonts w:ascii="Segoe UI" w:hAnsi="Segoe UI" w:cs="Segoe UI"/>
          <w:color w:val="172B4D"/>
          <w:sz w:val="21"/>
          <w:szCs w:val="21"/>
          <w:lang w:val="en-US"/>
        </w:rPr>
        <w:t xml:space="preserve">an </w:t>
      </w:r>
      <w:r w:rsidR="00F27F4A" w:rsidRPr="00E931DB">
        <w:rPr>
          <w:rFonts w:ascii="Segoe UI" w:hAnsi="Segoe UI" w:cs="Segoe UI"/>
          <w:color w:val="172B4D"/>
          <w:sz w:val="21"/>
          <w:szCs w:val="21"/>
          <w:lang w:val="en-US"/>
        </w:rPr>
        <w:t xml:space="preserve">average over several </w:t>
      </w:r>
      <w:r w:rsidR="00BC68E0" w:rsidRPr="00E931DB">
        <w:rPr>
          <w:rFonts w:ascii="Segoe UI" w:hAnsi="Segoe UI" w:cs="Segoe UI"/>
          <w:color w:val="172B4D"/>
          <w:sz w:val="21"/>
          <w:szCs w:val="21"/>
          <w:lang w:val="en-US"/>
        </w:rPr>
        <w:t>single dates;</w:t>
      </w:r>
      <w:r w:rsidR="00782015" w:rsidRPr="00E931DB">
        <w:rPr>
          <w:rFonts w:ascii="Segoe UI" w:hAnsi="Segoe UI" w:cs="Segoe UI"/>
          <w:color w:val="172B4D"/>
          <w:sz w:val="21"/>
          <w:szCs w:val="21"/>
          <w:lang w:val="en-US"/>
        </w:rPr>
        <w:t xml:space="preserve"> </w:t>
      </w:r>
      <w:r w:rsidR="00C70933" w:rsidRPr="00E931DB">
        <w:rPr>
          <w:rFonts w:ascii="Segoe UI" w:hAnsi="Segoe UI" w:cs="Segoe UI"/>
          <w:color w:val="172B4D"/>
          <w:sz w:val="21"/>
          <w:szCs w:val="21"/>
          <w:lang w:val="en-US"/>
        </w:rPr>
        <w:t>but</w:t>
      </w:r>
      <w:r w:rsidR="00782015" w:rsidRPr="00E931DB">
        <w:rPr>
          <w:rFonts w:ascii="Segoe UI" w:hAnsi="Segoe UI" w:cs="Segoe UI"/>
          <w:color w:val="172B4D"/>
          <w:sz w:val="21"/>
          <w:szCs w:val="21"/>
          <w:lang w:val="en-US"/>
        </w:rPr>
        <w:t xml:space="preserve"> the </w:t>
      </w:r>
      <w:r w:rsidR="00F65A7D" w:rsidRPr="00E931DB">
        <w:rPr>
          <w:rFonts w:ascii="Segoe UI" w:hAnsi="Segoe UI" w:cs="Segoe UI"/>
          <w:color w:val="172B4D"/>
          <w:sz w:val="21"/>
          <w:szCs w:val="21"/>
          <w:lang w:val="en-US"/>
        </w:rPr>
        <w:t xml:space="preserve">significant </w:t>
      </w:r>
      <w:r w:rsidR="00782015" w:rsidRPr="00E931DB">
        <w:rPr>
          <w:rFonts w:ascii="Segoe UI" w:hAnsi="Segoe UI" w:cs="Segoe UI"/>
          <w:color w:val="172B4D"/>
          <w:sz w:val="21"/>
          <w:szCs w:val="21"/>
          <w:lang w:val="en-US"/>
        </w:rPr>
        <w:t>negative impact</w:t>
      </w:r>
      <w:r w:rsidR="00F27F4A" w:rsidRPr="00E931DB">
        <w:rPr>
          <w:rFonts w:ascii="Segoe UI" w:hAnsi="Segoe UI" w:cs="Segoe UI"/>
          <w:color w:val="172B4D"/>
          <w:sz w:val="21"/>
          <w:szCs w:val="21"/>
          <w:lang w:val="en-US"/>
        </w:rPr>
        <w:t xml:space="preserve"> in the </w:t>
      </w:r>
      <w:r w:rsidR="00F65A7D" w:rsidRPr="00E931DB">
        <w:rPr>
          <w:rFonts w:ascii="Segoe UI" w:hAnsi="Segoe UI" w:cs="Segoe UI"/>
          <w:color w:val="172B4D"/>
          <w:sz w:val="21"/>
          <w:szCs w:val="21"/>
          <w:lang w:val="en-US"/>
        </w:rPr>
        <w:t xml:space="preserve">implementation costs </w:t>
      </w:r>
      <w:r w:rsidR="00782015" w:rsidRPr="00E931DB">
        <w:rPr>
          <w:rFonts w:ascii="Segoe UI" w:hAnsi="Segoe UI" w:cs="Segoe UI"/>
          <w:color w:val="172B4D"/>
          <w:sz w:val="21"/>
          <w:szCs w:val="21"/>
          <w:lang w:val="en-US"/>
        </w:rPr>
        <w:t xml:space="preserve">for the survey </w:t>
      </w:r>
      <w:r w:rsidR="00F65A7D" w:rsidRPr="00E931DB">
        <w:rPr>
          <w:rFonts w:ascii="Segoe UI" w:hAnsi="Segoe UI" w:cs="Segoe UI"/>
          <w:color w:val="172B4D"/>
          <w:sz w:val="21"/>
          <w:szCs w:val="21"/>
          <w:lang w:val="en-US"/>
        </w:rPr>
        <w:t xml:space="preserve">and enterprise response </w:t>
      </w:r>
      <w:r w:rsidR="00782015" w:rsidRPr="00E931DB">
        <w:rPr>
          <w:rFonts w:ascii="Segoe UI" w:hAnsi="Segoe UI" w:cs="Segoe UI"/>
          <w:color w:val="172B4D"/>
          <w:sz w:val="21"/>
          <w:szCs w:val="21"/>
          <w:lang w:val="en-US"/>
        </w:rPr>
        <w:t>burden need to be take into account.</w:t>
      </w:r>
    </w:p>
    <w:p w14:paraId="3B8386E0" w14:textId="77777777" w:rsidR="00511748" w:rsidRPr="00E931DB" w:rsidRDefault="00511748" w:rsidP="00F65A7D">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 xml:space="preserve">However, preliminary evidence arises of: </w:t>
      </w:r>
    </w:p>
    <w:p w14:paraId="63ECD85A" w14:textId="77777777" w:rsidR="00511748" w:rsidRPr="00E931DB" w:rsidRDefault="00511748" w:rsidP="00E931DB">
      <w:pPr>
        <w:pStyle w:val="Paragrafoelenco"/>
        <w:numPr>
          <w:ilvl w:val="0"/>
          <w:numId w:val="32"/>
        </w:numPr>
        <w:shd w:val="clear" w:color="auto" w:fill="FFFFFF" w:themeFill="background1"/>
        <w:jc w:val="both"/>
        <w:rPr>
          <w:rFonts w:ascii="Segoe UI" w:hAnsi="Segoe UI" w:cs="Segoe UI"/>
          <w:color w:val="172B4D"/>
          <w:sz w:val="21"/>
          <w:szCs w:val="21"/>
          <w:lang w:val="en-US"/>
        </w:rPr>
      </w:pPr>
      <w:r w:rsidRPr="00E931DB">
        <w:rPr>
          <w:rFonts w:ascii="Segoe UI" w:hAnsi="Segoe UI" w:cs="Segoe UI"/>
          <w:color w:val="172B4D"/>
          <w:sz w:val="21"/>
          <w:szCs w:val="21"/>
          <w:lang w:val="en-US"/>
        </w:rPr>
        <w:t xml:space="preserve">intense flows of vacancies within the month; </w:t>
      </w:r>
    </w:p>
    <w:p w14:paraId="4CF2D89B" w14:textId="77777777" w:rsidR="00511748" w:rsidRPr="00E931DB" w:rsidRDefault="00511748" w:rsidP="00E931DB">
      <w:pPr>
        <w:pStyle w:val="Paragrafoelenco"/>
        <w:numPr>
          <w:ilvl w:val="0"/>
          <w:numId w:val="32"/>
        </w:numPr>
        <w:shd w:val="clear" w:color="auto" w:fill="FFFFFF" w:themeFill="background1"/>
        <w:jc w:val="both"/>
        <w:rPr>
          <w:rFonts w:ascii="Segoe UI" w:hAnsi="Segoe UI" w:cs="Segoe UI"/>
          <w:color w:val="172B4D"/>
          <w:sz w:val="21"/>
          <w:szCs w:val="21"/>
          <w:lang w:val="en-US"/>
        </w:rPr>
      </w:pPr>
      <w:r w:rsidRPr="00E931DB">
        <w:rPr>
          <w:rFonts w:ascii="Segoe UI" w:hAnsi="Segoe UI" w:cs="Segoe UI"/>
          <w:color w:val="172B4D"/>
          <w:sz w:val="21"/>
          <w:szCs w:val="21"/>
          <w:lang w:val="en-US"/>
        </w:rPr>
        <w:t>different vacancy patterns over each month;</w:t>
      </w:r>
    </w:p>
    <w:p w14:paraId="2D698416" w14:textId="266ED110" w:rsidR="00511748" w:rsidRPr="00E931DB" w:rsidRDefault="00511748" w:rsidP="00E931DB">
      <w:pPr>
        <w:pStyle w:val="Paragrafoelenco"/>
        <w:numPr>
          <w:ilvl w:val="0"/>
          <w:numId w:val="32"/>
        </w:numPr>
        <w:shd w:val="clear" w:color="auto" w:fill="FFFFFF" w:themeFill="background1"/>
        <w:jc w:val="both"/>
        <w:rPr>
          <w:rFonts w:ascii="Segoe UI" w:hAnsi="Segoe UI" w:cs="Segoe UI"/>
          <w:color w:val="172B4D"/>
          <w:sz w:val="21"/>
          <w:szCs w:val="21"/>
          <w:lang w:val="en-US"/>
        </w:rPr>
      </w:pPr>
      <w:r w:rsidRPr="00E931DB">
        <w:rPr>
          <w:rFonts w:ascii="Segoe UI" w:hAnsi="Segoe UI" w:cs="Segoe UI"/>
          <w:color w:val="172B4D"/>
          <w:sz w:val="21"/>
          <w:szCs w:val="21"/>
          <w:lang w:val="en-US"/>
        </w:rPr>
        <w:t>different monthly average numbers of OJAs within the quarter.</w:t>
      </w:r>
    </w:p>
    <w:p w14:paraId="098968B8" w14:textId="5865A3BB" w:rsidR="00511748" w:rsidRPr="00E931DB" w:rsidRDefault="00511748" w:rsidP="00F65A7D">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Th</w:t>
      </w:r>
      <w:r w:rsidR="00C1611B" w:rsidRPr="00E931DB">
        <w:rPr>
          <w:rFonts w:ascii="Segoe UI" w:hAnsi="Segoe UI" w:cs="Segoe UI"/>
          <w:color w:val="172B4D"/>
          <w:sz w:val="21"/>
          <w:szCs w:val="21"/>
          <w:lang w:val="en-US"/>
        </w:rPr>
        <w:t xml:space="preserve">ese results highlight the need </w:t>
      </w:r>
      <w:r w:rsidRPr="00E931DB">
        <w:rPr>
          <w:rFonts w:ascii="Segoe UI" w:hAnsi="Segoe UI" w:cs="Segoe UI"/>
          <w:color w:val="172B4D"/>
          <w:sz w:val="21"/>
          <w:szCs w:val="21"/>
          <w:lang w:val="en-US"/>
        </w:rPr>
        <w:t xml:space="preserve">to improve the representativeness of the quarterly JV rate, based on the vacancies stocks </w:t>
      </w:r>
      <w:r w:rsidR="00C1611B" w:rsidRPr="00E931DB">
        <w:rPr>
          <w:rFonts w:ascii="Segoe UI" w:hAnsi="Segoe UI" w:cs="Segoe UI"/>
          <w:color w:val="172B4D"/>
          <w:sz w:val="21"/>
          <w:szCs w:val="21"/>
          <w:lang w:val="en-US"/>
        </w:rPr>
        <w:t xml:space="preserve">collected </w:t>
      </w:r>
      <w:r w:rsidRPr="00E931DB">
        <w:rPr>
          <w:rFonts w:ascii="Segoe UI" w:hAnsi="Segoe UI" w:cs="Segoe UI"/>
          <w:color w:val="172B4D"/>
          <w:sz w:val="21"/>
          <w:szCs w:val="21"/>
          <w:lang w:val="en-US"/>
        </w:rPr>
        <w:t>only at a specific reference date of the quarter.</w:t>
      </w:r>
    </w:p>
    <w:p w14:paraId="3132814F" w14:textId="197CE943" w:rsidR="00767E0E" w:rsidRPr="00C40BBF" w:rsidRDefault="00767E0E" w:rsidP="00767E0E">
      <w:pPr>
        <w:pStyle w:val="Didascalia"/>
        <w:rPr>
          <w:lang w:val="en-GB"/>
        </w:rPr>
      </w:pPr>
      <w:r>
        <w:rPr>
          <w:lang w:val="en-GB"/>
        </w:rPr>
        <w:t xml:space="preserve">Figure 1a: </w:t>
      </w:r>
      <w:r w:rsidRPr="00C40BBF">
        <w:rPr>
          <w:lang w:val="en-GB"/>
        </w:rPr>
        <w:t xml:space="preserve">OJAs daily distribution during the </w:t>
      </w:r>
      <w:r>
        <w:rPr>
          <w:lang w:val="en-GB"/>
        </w:rPr>
        <w:t xml:space="preserve">four </w:t>
      </w:r>
      <w:r w:rsidRPr="00C40BBF">
        <w:rPr>
          <w:lang w:val="en-GB"/>
        </w:rPr>
        <w:t>quarter</w:t>
      </w:r>
      <w:r>
        <w:rPr>
          <w:lang w:val="en-GB"/>
        </w:rPr>
        <w:t>s of 2019: the Italian case, first quarter 2019</w:t>
      </w:r>
    </w:p>
    <w:p w14:paraId="5B7267D3" w14:textId="31BC30FF" w:rsidR="000E6C9E" w:rsidRDefault="00767E0E" w:rsidP="00FD7476">
      <w:pPr>
        <w:jc w:val="both"/>
        <w:rPr>
          <w:lang w:val="en-GB"/>
        </w:rPr>
      </w:pPr>
      <w:r w:rsidRPr="00767E0E">
        <w:rPr>
          <w:noProof/>
          <w:lang w:val="it-IT" w:eastAsia="it-IT"/>
        </w:rPr>
        <w:drawing>
          <wp:inline distT="0" distB="0" distL="0" distR="0" wp14:anchorId="0B3F0960" wp14:editId="10F9E0A4">
            <wp:extent cx="5731510" cy="228890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88906"/>
                    </a:xfrm>
                    <a:prstGeom prst="rect">
                      <a:avLst/>
                    </a:prstGeom>
                    <a:noFill/>
                    <a:ln>
                      <a:noFill/>
                    </a:ln>
                  </pic:spPr>
                </pic:pic>
              </a:graphicData>
            </a:graphic>
          </wp:inline>
        </w:drawing>
      </w:r>
    </w:p>
    <w:p w14:paraId="487731C8" w14:textId="65BBF12B" w:rsidR="00767E0E" w:rsidRDefault="00767E0E" w:rsidP="00767E0E">
      <w:pPr>
        <w:pStyle w:val="Didascalia"/>
        <w:rPr>
          <w:lang w:val="en-GB"/>
        </w:rPr>
      </w:pPr>
      <w:r>
        <w:rPr>
          <w:lang w:val="en-GB"/>
        </w:rPr>
        <w:lastRenderedPageBreak/>
        <w:t xml:space="preserve">Figure 1b: </w:t>
      </w:r>
      <w:r w:rsidRPr="00C40BBF">
        <w:rPr>
          <w:lang w:val="en-GB"/>
        </w:rPr>
        <w:t xml:space="preserve">OJAs daily distribution during the </w:t>
      </w:r>
      <w:r>
        <w:rPr>
          <w:lang w:val="en-GB"/>
        </w:rPr>
        <w:t xml:space="preserve">four </w:t>
      </w:r>
      <w:r w:rsidRPr="00C40BBF">
        <w:rPr>
          <w:lang w:val="en-GB"/>
        </w:rPr>
        <w:t>quarter</w:t>
      </w:r>
      <w:r>
        <w:rPr>
          <w:lang w:val="en-GB"/>
        </w:rPr>
        <w:t>s of 2019: the Italian case, second quarter 2019</w:t>
      </w:r>
    </w:p>
    <w:p w14:paraId="761FDB9B" w14:textId="55279C5A" w:rsidR="00767E0E" w:rsidRPr="00767E0E" w:rsidRDefault="00767E0E" w:rsidP="00767E0E">
      <w:pPr>
        <w:rPr>
          <w:lang w:val="en-GB"/>
        </w:rPr>
      </w:pPr>
      <w:r w:rsidRPr="00767E0E">
        <w:rPr>
          <w:noProof/>
          <w:lang w:val="it-IT" w:eastAsia="it-IT"/>
        </w:rPr>
        <w:drawing>
          <wp:inline distT="0" distB="0" distL="0" distR="0" wp14:anchorId="7F648607" wp14:editId="00B64C98">
            <wp:extent cx="5731510" cy="2215473"/>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215473"/>
                    </a:xfrm>
                    <a:prstGeom prst="rect">
                      <a:avLst/>
                    </a:prstGeom>
                    <a:noFill/>
                    <a:ln>
                      <a:noFill/>
                    </a:ln>
                  </pic:spPr>
                </pic:pic>
              </a:graphicData>
            </a:graphic>
          </wp:inline>
        </w:drawing>
      </w:r>
    </w:p>
    <w:p w14:paraId="5CF23D35" w14:textId="4DB103B6" w:rsidR="00767E0E" w:rsidRDefault="00767E0E" w:rsidP="00767E0E">
      <w:pPr>
        <w:pStyle w:val="Didascalia"/>
        <w:rPr>
          <w:lang w:val="en-GB"/>
        </w:rPr>
      </w:pPr>
      <w:r>
        <w:rPr>
          <w:lang w:val="en-GB"/>
        </w:rPr>
        <w:t xml:space="preserve">Figure 1c: </w:t>
      </w:r>
      <w:r w:rsidRPr="00C40BBF">
        <w:rPr>
          <w:lang w:val="en-GB"/>
        </w:rPr>
        <w:t xml:space="preserve">OJAs daily distribution during the </w:t>
      </w:r>
      <w:r>
        <w:rPr>
          <w:lang w:val="en-GB"/>
        </w:rPr>
        <w:t xml:space="preserve">four </w:t>
      </w:r>
      <w:r w:rsidRPr="00C40BBF">
        <w:rPr>
          <w:lang w:val="en-GB"/>
        </w:rPr>
        <w:t>quarter</w:t>
      </w:r>
      <w:r>
        <w:rPr>
          <w:lang w:val="en-GB"/>
        </w:rPr>
        <w:t>s of 2019: the Italian case, third quarter 2019</w:t>
      </w:r>
    </w:p>
    <w:p w14:paraId="1AE83E87" w14:textId="128DD4B3" w:rsidR="00767E0E" w:rsidRPr="00767E0E" w:rsidRDefault="00767E0E" w:rsidP="00767E0E">
      <w:pPr>
        <w:rPr>
          <w:lang w:val="en-GB"/>
        </w:rPr>
      </w:pPr>
      <w:r w:rsidRPr="00767E0E">
        <w:rPr>
          <w:noProof/>
          <w:lang w:val="it-IT" w:eastAsia="it-IT"/>
        </w:rPr>
        <w:drawing>
          <wp:inline distT="0" distB="0" distL="0" distR="0" wp14:anchorId="6E185791" wp14:editId="0D08C371">
            <wp:extent cx="5731510" cy="2259138"/>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259138"/>
                    </a:xfrm>
                    <a:prstGeom prst="rect">
                      <a:avLst/>
                    </a:prstGeom>
                    <a:noFill/>
                    <a:ln>
                      <a:noFill/>
                    </a:ln>
                  </pic:spPr>
                </pic:pic>
              </a:graphicData>
            </a:graphic>
          </wp:inline>
        </w:drawing>
      </w:r>
    </w:p>
    <w:p w14:paraId="7908C8AC" w14:textId="125CC0D8" w:rsidR="00767E0E" w:rsidRDefault="00767E0E" w:rsidP="00767E0E">
      <w:pPr>
        <w:pStyle w:val="Didascalia"/>
        <w:rPr>
          <w:lang w:val="en-GB"/>
        </w:rPr>
      </w:pPr>
      <w:r>
        <w:rPr>
          <w:lang w:val="en-GB"/>
        </w:rPr>
        <w:t xml:space="preserve">Figure 1d: </w:t>
      </w:r>
      <w:r w:rsidRPr="00C40BBF">
        <w:rPr>
          <w:lang w:val="en-GB"/>
        </w:rPr>
        <w:t xml:space="preserve">OJAs daily distribution during the </w:t>
      </w:r>
      <w:r>
        <w:rPr>
          <w:lang w:val="en-GB"/>
        </w:rPr>
        <w:t xml:space="preserve">four </w:t>
      </w:r>
      <w:r w:rsidRPr="00C40BBF">
        <w:rPr>
          <w:lang w:val="en-GB"/>
        </w:rPr>
        <w:t>quarter</w:t>
      </w:r>
      <w:r>
        <w:rPr>
          <w:lang w:val="en-GB"/>
        </w:rPr>
        <w:t>s of 2019: the Italian case, fourth quarter 2019</w:t>
      </w:r>
    </w:p>
    <w:p w14:paraId="7B74FC2F" w14:textId="62DC53EB" w:rsidR="00767E0E" w:rsidRDefault="00767E0E" w:rsidP="00767E0E">
      <w:pPr>
        <w:rPr>
          <w:lang w:val="en-GB"/>
        </w:rPr>
      </w:pPr>
      <w:r w:rsidRPr="00767E0E">
        <w:rPr>
          <w:noProof/>
          <w:lang w:val="it-IT" w:eastAsia="it-IT"/>
        </w:rPr>
        <w:drawing>
          <wp:inline distT="0" distB="0" distL="0" distR="0" wp14:anchorId="29A185A5" wp14:editId="5772D56F">
            <wp:extent cx="5731510" cy="2228767"/>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228767"/>
                    </a:xfrm>
                    <a:prstGeom prst="rect">
                      <a:avLst/>
                    </a:prstGeom>
                    <a:noFill/>
                    <a:ln>
                      <a:noFill/>
                    </a:ln>
                  </pic:spPr>
                </pic:pic>
              </a:graphicData>
            </a:graphic>
          </wp:inline>
        </w:drawing>
      </w:r>
    </w:p>
    <w:p w14:paraId="398C556F" w14:textId="4EC40090" w:rsidR="000A5F99" w:rsidRDefault="000A5F99" w:rsidP="00767E0E">
      <w:pPr>
        <w:rPr>
          <w:lang w:val="en-GB"/>
        </w:rPr>
      </w:pPr>
    </w:p>
    <w:p w14:paraId="50567126" w14:textId="77777777" w:rsidR="000A5F99" w:rsidRPr="00767E0E" w:rsidRDefault="000A5F99" w:rsidP="00767E0E">
      <w:pPr>
        <w:rPr>
          <w:lang w:val="en-GB"/>
        </w:rPr>
      </w:pPr>
    </w:p>
    <w:p w14:paraId="4462C3A6" w14:textId="77777777" w:rsidR="000A5F99" w:rsidRDefault="000A5F99" w:rsidP="000A5F99">
      <w:pPr>
        <w:keepNext/>
        <w:jc w:val="both"/>
        <w:rPr>
          <w:rFonts w:asciiTheme="majorHAnsi" w:eastAsiaTheme="majorEastAsia" w:hAnsiTheme="majorHAnsi" w:cstheme="majorBidi"/>
          <w:color w:val="1F4D78" w:themeColor="accent1" w:themeShade="7F"/>
          <w:sz w:val="24"/>
          <w:szCs w:val="24"/>
          <w:lang w:val="en-GB"/>
        </w:rPr>
      </w:pPr>
      <w:r>
        <w:rPr>
          <w:rFonts w:asciiTheme="majorHAnsi" w:eastAsiaTheme="majorEastAsia" w:hAnsiTheme="majorHAnsi" w:cstheme="majorBidi"/>
          <w:color w:val="1F4D78" w:themeColor="accent1" w:themeShade="7F"/>
          <w:sz w:val="24"/>
          <w:szCs w:val="24"/>
          <w:lang w:val="en-GB"/>
        </w:rPr>
        <w:lastRenderedPageBreak/>
        <w:t>F</w:t>
      </w:r>
      <w:r w:rsidRPr="0024538F">
        <w:rPr>
          <w:rFonts w:asciiTheme="majorHAnsi" w:eastAsiaTheme="majorEastAsia" w:hAnsiTheme="majorHAnsi" w:cstheme="majorBidi"/>
          <w:color w:val="1F4D78" w:themeColor="accent1" w:themeShade="7F"/>
          <w:sz w:val="24"/>
          <w:szCs w:val="24"/>
          <w:lang w:val="en-GB"/>
        </w:rPr>
        <w:t xml:space="preserve">rom a quarterly to monthly basis </w:t>
      </w:r>
      <w:r>
        <w:rPr>
          <w:rFonts w:asciiTheme="majorHAnsi" w:eastAsiaTheme="majorEastAsia" w:hAnsiTheme="majorHAnsi" w:cstheme="majorBidi"/>
          <w:color w:val="1F4D78" w:themeColor="accent1" w:themeShade="7F"/>
          <w:sz w:val="24"/>
          <w:szCs w:val="24"/>
          <w:lang w:val="en-GB"/>
        </w:rPr>
        <w:t>JV indicator</w:t>
      </w:r>
    </w:p>
    <w:p w14:paraId="714FF70B" w14:textId="345A540B" w:rsidR="00B5565A" w:rsidRPr="00E931DB" w:rsidRDefault="0059046E" w:rsidP="008F75E7">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The high frequency detailed</w:t>
      </w:r>
      <w:r w:rsidR="003D1B27" w:rsidRPr="00E931DB">
        <w:rPr>
          <w:rFonts w:ascii="Segoe UI" w:hAnsi="Segoe UI" w:cs="Segoe UI"/>
          <w:color w:val="172B4D"/>
          <w:sz w:val="21"/>
          <w:szCs w:val="21"/>
          <w:lang w:val="en-US"/>
        </w:rPr>
        <w:t xml:space="preserve"> information from</w:t>
      </w:r>
      <w:r w:rsidRPr="00E931DB">
        <w:rPr>
          <w:rFonts w:ascii="Segoe UI" w:hAnsi="Segoe UI" w:cs="Segoe UI"/>
          <w:color w:val="172B4D"/>
          <w:sz w:val="21"/>
          <w:szCs w:val="21"/>
          <w:lang w:val="en-US"/>
        </w:rPr>
        <w:t xml:space="preserve"> OJAs can </w:t>
      </w:r>
      <w:r w:rsidR="003D1B27" w:rsidRPr="00E931DB">
        <w:rPr>
          <w:rFonts w:ascii="Segoe UI" w:hAnsi="Segoe UI" w:cs="Segoe UI"/>
          <w:color w:val="172B4D"/>
          <w:sz w:val="21"/>
          <w:szCs w:val="21"/>
          <w:lang w:val="en-US"/>
        </w:rPr>
        <w:t xml:space="preserve">also </w:t>
      </w:r>
      <w:r w:rsidRPr="00E931DB">
        <w:rPr>
          <w:rFonts w:ascii="Segoe UI" w:hAnsi="Segoe UI" w:cs="Segoe UI"/>
          <w:color w:val="172B4D"/>
          <w:sz w:val="21"/>
          <w:szCs w:val="21"/>
          <w:lang w:val="en-US"/>
        </w:rPr>
        <w:t xml:space="preserve">be used to indirectly extend the frequency of the JV official indicator from a quarterly basis to </w:t>
      </w:r>
      <w:r w:rsidR="00F924E8" w:rsidRPr="00E931DB">
        <w:rPr>
          <w:rFonts w:ascii="Segoe UI" w:hAnsi="Segoe UI" w:cs="Segoe UI"/>
          <w:color w:val="172B4D"/>
          <w:sz w:val="21"/>
          <w:szCs w:val="21"/>
          <w:lang w:val="en-US"/>
        </w:rPr>
        <w:t xml:space="preserve">a </w:t>
      </w:r>
      <w:r w:rsidRPr="00E931DB">
        <w:rPr>
          <w:rFonts w:ascii="Segoe UI" w:hAnsi="Segoe UI" w:cs="Segoe UI"/>
          <w:color w:val="172B4D"/>
          <w:sz w:val="21"/>
          <w:szCs w:val="21"/>
          <w:lang w:val="en-US"/>
        </w:rPr>
        <w:t xml:space="preserve">monthly one. </w:t>
      </w:r>
      <w:r w:rsidR="004F36E4" w:rsidRPr="00E931DB">
        <w:rPr>
          <w:rFonts w:ascii="Segoe UI" w:hAnsi="Segoe UI" w:cs="Segoe UI"/>
          <w:color w:val="172B4D"/>
          <w:sz w:val="21"/>
          <w:szCs w:val="21"/>
          <w:lang w:val="en-US"/>
        </w:rPr>
        <w:t>This</w:t>
      </w:r>
      <w:r w:rsidRPr="00E931DB">
        <w:rPr>
          <w:rFonts w:ascii="Segoe UI" w:hAnsi="Segoe UI" w:cs="Segoe UI"/>
          <w:color w:val="172B4D"/>
          <w:sz w:val="21"/>
          <w:szCs w:val="21"/>
          <w:lang w:val="en-US"/>
        </w:rPr>
        <w:t xml:space="preserve"> is another helpful use </w:t>
      </w:r>
      <w:r w:rsidR="00F924E8" w:rsidRPr="00E931DB">
        <w:rPr>
          <w:rFonts w:ascii="Segoe UI" w:hAnsi="Segoe UI" w:cs="Segoe UI"/>
          <w:color w:val="172B4D"/>
          <w:sz w:val="21"/>
          <w:szCs w:val="21"/>
          <w:lang w:val="en-US"/>
        </w:rPr>
        <w:t xml:space="preserve">of the OJAs, </w:t>
      </w:r>
      <w:r w:rsidRPr="00E931DB">
        <w:rPr>
          <w:rFonts w:ascii="Segoe UI" w:hAnsi="Segoe UI" w:cs="Segoe UI"/>
          <w:color w:val="172B4D"/>
          <w:sz w:val="21"/>
          <w:szCs w:val="21"/>
          <w:lang w:val="en-US"/>
        </w:rPr>
        <w:t>t</w:t>
      </w:r>
      <w:r w:rsidR="00B5565A" w:rsidRPr="00E931DB">
        <w:rPr>
          <w:rFonts w:ascii="Segoe UI" w:hAnsi="Segoe UI" w:cs="Segoe UI"/>
          <w:color w:val="172B4D"/>
          <w:sz w:val="21"/>
          <w:szCs w:val="21"/>
          <w:lang w:val="en-US"/>
        </w:rPr>
        <w:t>aking into account the difficulties</w:t>
      </w:r>
      <w:r w:rsidR="004F36E4" w:rsidRPr="00E931DB">
        <w:rPr>
          <w:rFonts w:ascii="Segoe UI" w:hAnsi="Segoe UI" w:cs="Segoe UI"/>
          <w:color w:val="172B4D"/>
          <w:sz w:val="21"/>
          <w:szCs w:val="21"/>
          <w:lang w:val="en-US"/>
        </w:rPr>
        <w:t xml:space="preserve"> both</w:t>
      </w:r>
      <w:r w:rsidR="00B5565A" w:rsidRPr="00E931DB">
        <w:rPr>
          <w:rFonts w:ascii="Segoe UI" w:hAnsi="Segoe UI" w:cs="Segoe UI"/>
          <w:color w:val="172B4D"/>
          <w:sz w:val="21"/>
          <w:szCs w:val="21"/>
          <w:lang w:val="en-US"/>
        </w:rPr>
        <w:t xml:space="preserve"> in implementing a vacancy survey on a continuous basis and </w:t>
      </w:r>
      <w:r w:rsidRPr="00E931DB">
        <w:rPr>
          <w:rFonts w:ascii="Segoe UI" w:hAnsi="Segoe UI" w:cs="Segoe UI"/>
          <w:color w:val="172B4D"/>
          <w:sz w:val="21"/>
          <w:szCs w:val="21"/>
          <w:lang w:val="en-US"/>
        </w:rPr>
        <w:t xml:space="preserve">in </w:t>
      </w:r>
      <w:r w:rsidR="00B5565A" w:rsidRPr="00E931DB">
        <w:rPr>
          <w:rFonts w:ascii="Segoe UI" w:hAnsi="Segoe UI" w:cs="Segoe UI"/>
          <w:color w:val="172B4D"/>
          <w:sz w:val="21"/>
          <w:szCs w:val="21"/>
          <w:lang w:val="en-US"/>
        </w:rPr>
        <w:t>changing the currently used reference date or extending it to more dates</w:t>
      </w:r>
      <w:r w:rsidRPr="00E931DB">
        <w:rPr>
          <w:rFonts w:ascii="Segoe UI" w:hAnsi="Segoe UI" w:cs="Segoe UI"/>
          <w:color w:val="172B4D"/>
          <w:sz w:val="21"/>
          <w:szCs w:val="21"/>
          <w:lang w:val="en-US"/>
        </w:rPr>
        <w:t xml:space="preserve">. </w:t>
      </w:r>
    </w:p>
    <w:p w14:paraId="58116944" w14:textId="036454C3" w:rsidR="00260623" w:rsidRDefault="00EC3895" w:rsidP="00260623">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EU Regulations requires the job vacancy rate</w:t>
      </w:r>
      <w:r w:rsidR="004F36E4" w:rsidRPr="00E931DB">
        <w:rPr>
          <w:rFonts w:ascii="Segoe UI" w:hAnsi="Segoe UI" w:cs="Segoe UI"/>
          <w:color w:val="172B4D"/>
          <w:sz w:val="21"/>
          <w:szCs w:val="21"/>
          <w:lang w:val="en-US"/>
        </w:rPr>
        <w:t xml:space="preserve"> </w:t>
      </w:r>
      <w:r w:rsidR="00260623" w:rsidRPr="00E931DB">
        <w:rPr>
          <w:rFonts w:ascii="Segoe UI" w:hAnsi="Segoe UI" w:cs="Segoe UI"/>
          <w:color w:val="172B4D"/>
          <w:sz w:val="21"/>
          <w:szCs w:val="21"/>
          <w:lang w:val="en-US"/>
        </w:rPr>
        <w:t>on a quarterly basis. In Istat,</w:t>
      </w:r>
      <w:r w:rsidR="00FE23AD" w:rsidRPr="00E931DB">
        <w:rPr>
          <w:rFonts w:ascii="Segoe UI" w:hAnsi="Segoe UI" w:cs="Segoe UI"/>
          <w:color w:val="172B4D"/>
          <w:sz w:val="21"/>
          <w:szCs w:val="21"/>
          <w:lang w:val="en-US"/>
        </w:rPr>
        <w:t xml:space="preserve"> as already mentioned,</w:t>
      </w:r>
      <w:r w:rsidR="00260623" w:rsidRPr="00E931DB">
        <w:rPr>
          <w:rFonts w:ascii="Segoe UI" w:hAnsi="Segoe UI" w:cs="Segoe UI"/>
          <w:color w:val="172B4D"/>
          <w:sz w:val="21"/>
          <w:szCs w:val="21"/>
          <w:lang w:val="en-US"/>
        </w:rPr>
        <w:t xml:space="preserve"> for the computation of the vacancy rate, data on job vacancies refer to the last </w:t>
      </w:r>
      <w:r w:rsidR="00F2284D" w:rsidRPr="00E931DB">
        <w:rPr>
          <w:rFonts w:ascii="Segoe UI" w:hAnsi="Segoe UI" w:cs="Segoe UI"/>
          <w:color w:val="172B4D"/>
          <w:sz w:val="21"/>
          <w:szCs w:val="21"/>
          <w:lang w:val="en-US"/>
        </w:rPr>
        <w:t xml:space="preserve">calendar </w:t>
      </w:r>
      <w:r w:rsidR="00260623" w:rsidRPr="00E931DB">
        <w:rPr>
          <w:rFonts w:ascii="Segoe UI" w:hAnsi="Segoe UI" w:cs="Segoe UI"/>
          <w:color w:val="172B4D"/>
          <w:sz w:val="21"/>
          <w:szCs w:val="21"/>
          <w:lang w:val="en-US"/>
        </w:rPr>
        <w:t>day of the quarter. Daily information on OJAs provides valuable insight into vacancy flows during the quarter. The monthly average number of OJAs could be used to estimate the vacancy rate on a monthly basis</w:t>
      </w:r>
      <w:r w:rsidR="008E2DEF">
        <w:rPr>
          <w:rFonts w:ascii="Segoe UI" w:hAnsi="Segoe UI" w:cs="Segoe UI"/>
          <w:color w:val="172B4D"/>
          <w:sz w:val="21"/>
          <w:szCs w:val="21"/>
          <w:lang w:val="en-US"/>
        </w:rPr>
        <w:t xml:space="preserve"> (</w:t>
      </w:r>
      <w:r w:rsidR="008E2DEF" w:rsidRPr="004B5A24">
        <w:rPr>
          <w:rFonts w:ascii="Segoe UI" w:hAnsi="Segoe UI" w:cs="Segoe UI"/>
          <w:i/>
          <w:color w:val="172B4D"/>
          <w:sz w:val="21"/>
          <w:szCs w:val="21"/>
          <w:lang w:val="en-US"/>
        </w:rPr>
        <w:t>JVr</w:t>
      </w:r>
      <w:r w:rsidR="008E2DEF" w:rsidRPr="008E2DEF">
        <w:rPr>
          <w:rFonts w:ascii="Segoe UI" w:hAnsi="Segoe UI" w:cs="Segoe UI"/>
          <w:i/>
          <w:color w:val="172B4D"/>
          <w:sz w:val="21"/>
          <w:szCs w:val="21"/>
          <w:vertAlign w:val="subscript"/>
          <w:lang w:val="en-US"/>
        </w:rPr>
        <w:t>m</w:t>
      </w:r>
      <w:r w:rsidR="008E2DEF">
        <w:rPr>
          <w:rFonts w:ascii="Segoe UI" w:hAnsi="Segoe UI" w:cs="Segoe UI"/>
          <w:i/>
          <w:color w:val="172B4D"/>
          <w:sz w:val="21"/>
          <w:szCs w:val="21"/>
          <w:vertAlign w:val="subscript"/>
          <w:lang w:val="en-US"/>
        </w:rPr>
        <w:t xml:space="preserve"> </w:t>
      </w:r>
      <w:r w:rsidR="008E2DEF" w:rsidRPr="008E2DEF">
        <w:rPr>
          <w:rFonts w:ascii="Segoe UI" w:hAnsi="Segoe UI" w:cs="Segoe UI"/>
          <w:color w:val="172B4D"/>
          <w:sz w:val="21"/>
          <w:szCs w:val="21"/>
          <w:lang w:val="en-US"/>
        </w:rPr>
        <w:t>)</w:t>
      </w:r>
      <w:r w:rsidR="00260623" w:rsidRPr="00E931DB">
        <w:rPr>
          <w:rFonts w:ascii="Segoe UI" w:hAnsi="Segoe UI" w:cs="Segoe UI"/>
          <w:color w:val="172B4D"/>
          <w:sz w:val="21"/>
          <w:szCs w:val="21"/>
          <w:lang w:val="en-US"/>
        </w:rPr>
        <w:t>, as follows:</w:t>
      </w:r>
    </w:p>
    <w:p w14:paraId="628D78E5" w14:textId="6FA0D97B" w:rsidR="008E2DEF" w:rsidRPr="00960A9C" w:rsidRDefault="003C565B" w:rsidP="00260623">
      <w:pPr>
        <w:jc w:val="both"/>
        <w:rPr>
          <w:rFonts w:ascii="Segoe UI" w:hAnsi="Segoe UI" w:cs="Segoe UI"/>
          <w:color w:val="172B4D"/>
          <w:sz w:val="21"/>
          <w:szCs w:val="21"/>
          <w:lang w:val="en-US"/>
        </w:rPr>
      </w:pPr>
      <m:oMath>
        <m:sSub>
          <m:sSubPr>
            <m:ctrlPr>
              <w:rPr>
                <w:rFonts w:ascii="Cambria Math" w:hAnsi="Cambria Math" w:cs="Segoe UI"/>
                <w:bCs/>
                <w:i/>
                <w:iCs/>
                <w:color w:val="172B4D"/>
                <w:sz w:val="21"/>
                <w:szCs w:val="21"/>
                <w:lang w:val="en-US"/>
              </w:rPr>
            </m:ctrlPr>
          </m:sSubPr>
          <m:e>
            <m:r>
              <w:rPr>
                <w:rFonts w:ascii="Cambria Math" w:hAnsi="Cambria Math" w:cs="Segoe UI"/>
                <w:color w:val="172B4D"/>
                <w:sz w:val="21"/>
                <w:szCs w:val="21"/>
                <w:lang w:val="en-US"/>
              </w:rPr>
              <m:t>JVr</m:t>
            </m:r>
          </m:e>
          <m:sub>
            <m:r>
              <w:rPr>
                <w:rFonts w:ascii="Cambria Math" w:hAnsi="Cambria Math" w:cs="Segoe UI"/>
                <w:color w:val="172B4D"/>
                <w:sz w:val="21"/>
                <w:szCs w:val="21"/>
                <w:lang w:val="en-US"/>
              </w:rPr>
              <m:t>m</m:t>
            </m:r>
          </m:sub>
        </m:sSub>
        <m:r>
          <m:rPr>
            <m:sty m:val="p"/>
          </m:rPr>
          <w:rPr>
            <w:rFonts w:ascii="Cambria Math" w:hAnsi="Cambria Math" w:cs="Segoe UI"/>
            <w:color w:val="172B4D"/>
            <w:sz w:val="21"/>
            <w:szCs w:val="21"/>
            <w:lang w:val="en-US"/>
          </w:rPr>
          <m:t>=</m:t>
        </m:r>
        <m:sSub>
          <m:sSubPr>
            <m:ctrlPr>
              <w:rPr>
                <w:rFonts w:ascii="Cambria Math" w:hAnsi="Cambria Math" w:cs="Segoe UI"/>
                <w:bCs/>
                <w:i/>
                <w:iCs/>
                <w:color w:val="172B4D"/>
                <w:sz w:val="21"/>
                <w:szCs w:val="21"/>
                <w:lang w:val="en-US"/>
              </w:rPr>
            </m:ctrlPr>
          </m:sSubPr>
          <m:e>
            <m:r>
              <w:rPr>
                <w:rFonts w:ascii="Cambria Math" w:hAnsi="Cambria Math" w:cs="Segoe UI"/>
                <w:color w:val="172B4D"/>
                <w:sz w:val="21"/>
                <w:szCs w:val="21"/>
                <w:lang w:val="en-US"/>
              </w:rPr>
              <m:t>JVr</m:t>
            </m:r>
          </m:e>
          <m:sub>
            <m:r>
              <w:rPr>
                <w:rFonts w:ascii="Cambria Math" w:hAnsi="Cambria Math" w:cs="Segoe UI"/>
                <w:color w:val="172B4D"/>
                <w:sz w:val="21"/>
                <w:szCs w:val="21"/>
                <w:lang w:val="en-US"/>
              </w:rPr>
              <m:t>q</m:t>
            </m:r>
          </m:sub>
        </m:sSub>
        <m:r>
          <m:rPr>
            <m:sty m:val="p"/>
          </m:rPr>
          <w:rPr>
            <w:rFonts w:ascii="Cambria Math" w:hAnsi="Cambria Math" w:cs="Segoe UI"/>
            <w:color w:val="172B4D"/>
            <w:sz w:val="21"/>
            <w:szCs w:val="21"/>
            <w:lang w:val="en-US"/>
          </w:rPr>
          <m:t>*</m:t>
        </m:r>
        <m:f>
          <m:fPr>
            <m:ctrlPr>
              <w:rPr>
                <w:rFonts w:ascii="Cambria Math" w:hAnsi="Cambria Math" w:cs="Segoe UI"/>
                <w:i/>
                <w:color w:val="172B4D"/>
                <w:sz w:val="21"/>
                <w:szCs w:val="21"/>
                <w:lang w:val="en-US"/>
              </w:rPr>
            </m:ctrlPr>
          </m:fPr>
          <m:num>
            <m:r>
              <w:rPr>
                <w:rFonts w:ascii="Cambria Math" w:hAnsi="Cambria Math" w:cs="Segoe UI"/>
                <w:color w:val="172B4D"/>
                <w:sz w:val="21"/>
                <w:szCs w:val="21"/>
                <w:lang w:val="en-US"/>
              </w:rPr>
              <m:t>monthly mean OJAs</m:t>
            </m:r>
            <m:r>
              <m:rPr>
                <m:nor/>
              </m:rPr>
              <w:rPr>
                <w:rFonts w:ascii="Cambria Math" w:hAnsi="Cambria Math" w:cs="Segoe UI"/>
                <w:i/>
                <w:color w:val="172B4D"/>
                <w:sz w:val="21"/>
                <w:szCs w:val="21"/>
                <w:lang w:val="en-US"/>
              </w:rPr>
              <m:t> </m:t>
            </m:r>
          </m:num>
          <m:den>
            <m:r>
              <w:rPr>
                <w:rFonts w:ascii="Cambria Math" w:hAnsi="Cambria Math" w:cs="Segoe UI"/>
                <w:color w:val="172B4D"/>
                <w:sz w:val="21"/>
                <w:szCs w:val="21"/>
                <w:lang w:val="en-US"/>
              </w:rPr>
              <m:t>quarterly mean OJAs</m:t>
            </m:r>
          </m:den>
        </m:f>
      </m:oMath>
      <w:r w:rsidR="00D5680D">
        <w:rPr>
          <w:rFonts w:ascii="Segoe UI" w:hAnsi="Segoe UI" w:cs="Segoe UI"/>
          <w:b/>
          <w:color w:val="172B4D"/>
          <w:sz w:val="21"/>
          <w:szCs w:val="21"/>
          <w:lang w:val="en-US"/>
        </w:rPr>
        <w:t xml:space="preserve"> </w:t>
      </w:r>
      <w:r w:rsidR="00D5680D">
        <w:rPr>
          <w:rFonts w:ascii="Segoe UI" w:hAnsi="Segoe UI" w:cs="Segoe UI"/>
          <w:b/>
          <w:color w:val="172B4D"/>
          <w:sz w:val="21"/>
          <w:szCs w:val="21"/>
          <w:lang w:val="en-US"/>
        </w:rPr>
        <w:tab/>
      </w:r>
      <w:r w:rsidR="00D5680D">
        <w:rPr>
          <w:rFonts w:ascii="Segoe UI" w:hAnsi="Segoe UI" w:cs="Segoe UI"/>
          <w:b/>
          <w:color w:val="172B4D"/>
          <w:sz w:val="21"/>
          <w:szCs w:val="21"/>
          <w:lang w:val="en-US"/>
        </w:rPr>
        <w:tab/>
      </w:r>
      <w:r w:rsidR="00D5680D">
        <w:rPr>
          <w:rFonts w:ascii="Segoe UI" w:hAnsi="Segoe UI" w:cs="Segoe UI"/>
          <w:b/>
          <w:color w:val="172B4D"/>
          <w:sz w:val="21"/>
          <w:szCs w:val="21"/>
          <w:lang w:val="en-US"/>
        </w:rPr>
        <w:tab/>
      </w:r>
      <w:r w:rsidR="00D5680D">
        <w:rPr>
          <w:rFonts w:ascii="Segoe UI" w:hAnsi="Segoe UI" w:cs="Segoe UI"/>
          <w:b/>
          <w:color w:val="172B4D"/>
          <w:sz w:val="21"/>
          <w:szCs w:val="21"/>
          <w:lang w:val="en-US"/>
        </w:rPr>
        <w:tab/>
      </w:r>
      <w:r w:rsidR="00D5680D">
        <w:rPr>
          <w:rFonts w:ascii="Segoe UI" w:hAnsi="Segoe UI" w:cs="Segoe UI"/>
          <w:b/>
          <w:color w:val="172B4D"/>
          <w:sz w:val="21"/>
          <w:szCs w:val="21"/>
          <w:lang w:val="en-US"/>
        </w:rPr>
        <w:tab/>
      </w:r>
      <w:r w:rsidR="00D5680D">
        <w:rPr>
          <w:rFonts w:ascii="Segoe UI" w:hAnsi="Segoe UI" w:cs="Segoe UI"/>
          <w:b/>
          <w:color w:val="172B4D"/>
          <w:sz w:val="21"/>
          <w:szCs w:val="21"/>
          <w:lang w:val="en-US"/>
        </w:rPr>
        <w:tab/>
      </w:r>
      <w:r w:rsidR="00D5680D">
        <w:rPr>
          <w:rFonts w:ascii="Segoe UI" w:hAnsi="Segoe UI" w:cs="Segoe UI"/>
          <w:b/>
          <w:color w:val="172B4D"/>
          <w:sz w:val="21"/>
          <w:szCs w:val="21"/>
          <w:lang w:val="en-US"/>
        </w:rPr>
        <w:tab/>
      </w:r>
      <w:r w:rsidR="00D5680D">
        <w:rPr>
          <w:rFonts w:ascii="Segoe UI" w:hAnsi="Segoe UI" w:cs="Segoe UI"/>
          <w:b/>
          <w:color w:val="172B4D"/>
          <w:sz w:val="21"/>
          <w:szCs w:val="21"/>
          <w:lang w:val="en-US"/>
        </w:rPr>
        <w:tab/>
      </w:r>
      <w:r w:rsidR="00D5680D" w:rsidRPr="00D5680D">
        <w:rPr>
          <w:rFonts w:ascii="Segoe UI" w:hAnsi="Segoe UI" w:cs="Segoe UI"/>
          <w:color w:val="172B4D"/>
          <w:sz w:val="21"/>
          <w:szCs w:val="21"/>
          <w:lang w:val="en-US"/>
        </w:rPr>
        <w:t>[2]</w:t>
      </w:r>
    </w:p>
    <w:p w14:paraId="71ACA8A9" w14:textId="45E23BB0" w:rsidR="00260623" w:rsidRPr="00E931DB" w:rsidRDefault="00260623" w:rsidP="00260623">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Since there is no evidence of a clear daily pattern in the months, we preferred to use the monthly and the quarterly average of OJA</w:t>
      </w:r>
      <w:r w:rsidR="00FE23AD" w:rsidRPr="00E931DB">
        <w:rPr>
          <w:rFonts w:ascii="Segoe UI" w:hAnsi="Segoe UI" w:cs="Segoe UI"/>
          <w:color w:val="172B4D"/>
          <w:sz w:val="21"/>
          <w:szCs w:val="21"/>
          <w:lang w:val="en-US"/>
        </w:rPr>
        <w:t>s</w:t>
      </w:r>
      <w:r w:rsidRPr="00E931DB">
        <w:rPr>
          <w:rFonts w:ascii="Segoe UI" w:hAnsi="Segoe UI" w:cs="Segoe UI"/>
          <w:color w:val="172B4D"/>
          <w:sz w:val="21"/>
          <w:szCs w:val="21"/>
          <w:lang w:val="en-US"/>
        </w:rPr>
        <w:t xml:space="preserve"> </w:t>
      </w:r>
      <w:r w:rsidR="00FE23AD" w:rsidRPr="00E931DB">
        <w:rPr>
          <w:rFonts w:ascii="Segoe UI" w:hAnsi="Segoe UI" w:cs="Segoe UI"/>
          <w:color w:val="172B4D"/>
          <w:sz w:val="21"/>
          <w:szCs w:val="21"/>
          <w:lang w:val="en-US"/>
        </w:rPr>
        <w:t>instead of</w:t>
      </w:r>
      <w:r w:rsidRPr="00E931DB">
        <w:rPr>
          <w:rFonts w:ascii="Segoe UI" w:hAnsi="Segoe UI" w:cs="Segoe UI"/>
          <w:color w:val="172B4D"/>
          <w:sz w:val="21"/>
          <w:szCs w:val="21"/>
          <w:lang w:val="en-US"/>
        </w:rPr>
        <w:t xml:space="preserve"> the number of OJA</w:t>
      </w:r>
      <w:r w:rsidR="00FE23AD" w:rsidRPr="00E931DB">
        <w:rPr>
          <w:rFonts w:ascii="Segoe UI" w:hAnsi="Segoe UI" w:cs="Segoe UI"/>
          <w:color w:val="172B4D"/>
          <w:sz w:val="21"/>
          <w:szCs w:val="21"/>
          <w:lang w:val="en-US"/>
        </w:rPr>
        <w:t>s</w:t>
      </w:r>
      <w:r w:rsidRPr="00E931DB">
        <w:rPr>
          <w:rFonts w:ascii="Segoe UI" w:hAnsi="Segoe UI" w:cs="Segoe UI"/>
          <w:color w:val="172B4D"/>
          <w:sz w:val="21"/>
          <w:szCs w:val="21"/>
          <w:lang w:val="en-US"/>
        </w:rPr>
        <w:t xml:space="preserve"> on a specific day (e.g. last day of the month or the quarter).  Job vacancy rate is one of the principal European economic indicators (PEEIs), the primary source of information used to analyse and monitor short-term cyclical economic developments within the EU</w:t>
      </w:r>
      <w:r w:rsidR="00FE23AD" w:rsidRPr="00E931DB">
        <w:rPr>
          <w:rFonts w:ascii="Segoe UI" w:hAnsi="Segoe UI" w:cs="Segoe UI"/>
          <w:color w:val="172B4D"/>
          <w:sz w:val="21"/>
          <w:szCs w:val="21"/>
          <w:lang w:val="en-US"/>
        </w:rPr>
        <w:t xml:space="preserve"> Member States</w:t>
      </w:r>
      <w:r w:rsidRPr="00E931DB">
        <w:rPr>
          <w:rFonts w:ascii="Segoe UI" w:hAnsi="Segoe UI" w:cs="Segoe UI"/>
          <w:color w:val="172B4D"/>
          <w:sz w:val="21"/>
          <w:szCs w:val="21"/>
          <w:lang w:val="en-US"/>
        </w:rPr>
        <w:t xml:space="preserve">, the euro area and </w:t>
      </w:r>
      <w:r w:rsidR="00FE23AD" w:rsidRPr="00E931DB">
        <w:rPr>
          <w:rFonts w:ascii="Segoe UI" w:hAnsi="Segoe UI" w:cs="Segoe UI"/>
          <w:color w:val="172B4D"/>
          <w:sz w:val="21"/>
          <w:szCs w:val="21"/>
          <w:lang w:val="en-US"/>
        </w:rPr>
        <w:t xml:space="preserve">the </w:t>
      </w:r>
      <w:r w:rsidRPr="00E931DB">
        <w:rPr>
          <w:rFonts w:ascii="Segoe UI" w:hAnsi="Segoe UI" w:cs="Segoe UI"/>
          <w:color w:val="172B4D"/>
          <w:sz w:val="21"/>
          <w:szCs w:val="21"/>
          <w:lang w:val="en-US"/>
        </w:rPr>
        <w:t xml:space="preserve">individual EU countries (ESSnet Big Data II, Methodological framework for processing online job adverts data for Official Statistics V.2, p. 10). Therefore, </w:t>
      </w:r>
      <w:r w:rsidR="00FE23AD" w:rsidRPr="00E931DB">
        <w:rPr>
          <w:rFonts w:ascii="Segoe UI" w:hAnsi="Segoe UI" w:cs="Segoe UI"/>
          <w:color w:val="172B4D"/>
          <w:sz w:val="21"/>
          <w:szCs w:val="21"/>
          <w:lang w:val="en-US"/>
        </w:rPr>
        <w:t xml:space="preserve">a monthly job vacancy rate, indirectly derived from the </w:t>
      </w:r>
      <w:r w:rsidRPr="00E931DB">
        <w:rPr>
          <w:rFonts w:ascii="Segoe UI" w:hAnsi="Segoe UI" w:cs="Segoe UI"/>
          <w:color w:val="172B4D"/>
          <w:sz w:val="21"/>
          <w:szCs w:val="21"/>
          <w:lang w:val="en-US"/>
        </w:rPr>
        <w:t>OJAs</w:t>
      </w:r>
      <w:r w:rsidR="00FE23AD" w:rsidRPr="00E931DB">
        <w:rPr>
          <w:rFonts w:ascii="Segoe UI" w:hAnsi="Segoe UI" w:cs="Segoe UI"/>
          <w:color w:val="172B4D"/>
          <w:sz w:val="21"/>
          <w:szCs w:val="21"/>
          <w:lang w:val="en-US"/>
        </w:rPr>
        <w:t>,</w:t>
      </w:r>
      <w:r w:rsidRPr="00E931DB">
        <w:rPr>
          <w:rFonts w:ascii="Segoe UI" w:hAnsi="Segoe UI" w:cs="Segoe UI"/>
          <w:color w:val="172B4D"/>
          <w:sz w:val="21"/>
          <w:szCs w:val="21"/>
          <w:lang w:val="en-US"/>
        </w:rPr>
        <w:t xml:space="preserve"> can be used to better understand the dynamics of the economic cycle within the quarter, also in relation to other monthly indicators.</w:t>
      </w:r>
    </w:p>
    <w:p w14:paraId="07CF4F2A" w14:textId="3F23F50F" w:rsidR="00260623" w:rsidRPr="00E931DB" w:rsidRDefault="00BF4273" w:rsidP="00260623">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A first attempt of estimating a monthly vacancy rate, only for the Italian case, from the third quarter of 2018 to the fourth quarter of 2019 has been carried out</w:t>
      </w:r>
      <w:r w:rsidR="00812397" w:rsidRPr="00E931DB">
        <w:rPr>
          <w:rFonts w:ascii="Segoe UI" w:hAnsi="Segoe UI" w:cs="Segoe UI"/>
          <w:color w:val="172B4D"/>
          <w:sz w:val="21"/>
          <w:szCs w:val="21"/>
          <w:lang w:val="en-US"/>
        </w:rPr>
        <w:t>.</w:t>
      </w:r>
      <w:r w:rsidRPr="00E931DB">
        <w:rPr>
          <w:rFonts w:ascii="Segoe UI" w:hAnsi="Segoe UI" w:cs="Segoe UI"/>
          <w:color w:val="172B4D"/>
          <w:sz w:val="21"/>
          <w:szCs w:val="21"/>
          <w:lang w:val="en-US"/>
        </w:rPr>
        <w:t xml:space="preserve"> </w:t>
      </w:r>
      <w:r w:rsidR="00812397" w:rsidRPr="00E931DB">
        <w:rPr>
          <w:rFonts w:ascii="Segoe UI" w:hAnsi="Segoe UI" w:cs="Segoe UI"/>
          <w:color w:val="172B4D"/>
          <w:sz w:val="21"/>
          <w:szCs w:val="21"/>
          <w:lang w:val="en-US"/>
        </w:rPr>
        <w:t>The exercise has been based on</w:t>
      </w:r>
      <w:r w:rsidR="00260623" w:rsidRPr="00E931DB">
        <w:rPr>
          <w:rFonts w:ascii="Segoe UI" w:hAnsi="Segoe UI" w:cs="Segoe UI"/>
          <w:color w:val="172B4D"/>
          <w:sz w:val="21"/>
          <w:szCs w:val="21"/>
          <w:lang w:val="en-US"/>
        </w:rPr>
        <w:t xml:space="preserve"> the </w:t>
      </w:r>
      <w:r w:rsidRPr="00E931DB">
        <w:rPr>
          <w:rFonts w:ascii="Segoe UI" w:hAnsi="Segoe UI" w:cs="Segoe UI"/>
          <w:color w:val="172B4D"/>
          <w:sz w:val="21"/>
          <w:szCs w:val="21"/>
          <w:lang w:val="en-US"/>
        </w:rPr>
        <w:t xml:space="preserve">monthly OJAs </w:t>
      </w:r>
      <w:r w:rsidR="00260623" w:rsidRPr="00E931DB">
        <w:rPr>
          <w:rFonts w:ascii="Segoe UI" w:hAnsi="Segoe UI" w:cs="Segoe UI"/>
          <w:color w:val="172B4D"/>
          <w:sz w:val="21"/>
          <w:szCs w:val="21"/>
          <w:lang w:val="en-US"/>
        </w:rPr>
        <w:t xml:space="preserve">data </w:t>
      </w:r>
      <w:r w:rsidRPr="00E931DB">
        <w:rPr>
          <w:rFonts w:ascii="Segoe UI" w:hAnsi="Segoe UI" w:cs="Segoe UI"/>
          <w:color w:val="172B4D"/>
          <w:sz w:val="21"/>
          <w:szCs w:val="21"/>
          <w:lang w:val="en-US"/>
        </w:rPr>
        <w:t xml:space="preserve">over the months </w:t>
      </w:r>
      <w:r w:rsidR="00260623" w:rsidRPr="00E931DB">
        <w:rPr>
          <w:rFonts w:ascii="Segoe UI" w:hAnsi="Segoe UI" w:cs="Segoe UI"/>
          <w:color w:val="172B4D"/>
          <w:sz w:val="21"/>
          <w:szCs w:val="21"/>
          <w:lang w:val="en-US"/>
        </w:rPr>
        <w:t xml:space="preserve">July 2018-December 2019 and </w:t>
      </w:r>
      <w:r w:rsidR="00812397" w:rsidRPr="00E931DB">
        <w:rPr>
          <w:rFonts w:ascii="Segoe UI" w:hAnsi="Segoe UI" w:cs="Segoe UI"/>
          <w:color w:val="172B4D"/>
          <w:sz w:val="21"/>
          <w:szCs w:val="21"/>
          <w:lang w:val="en-US"/>
        </w:rPr>
        <w:t xml:space="preserve">on </w:t>
      </w:r>
      <w:r w:rsidR="00260623" w:rsidRPr="00E931DB">
        <w:rPr>
          <w:rFonts w:ascii="Segoe UI" w:hAnsi="Segoe UI" w:cs="Segoe UI"/>
          <w:color w:val="172B4D"/>
          <w:sz w:val="21"/>
          <w:szCs w:val="21"/>
          <w:lang w:val="en-US"/>
        </w:rPr>
        <w:t>the</w:t>
      </w:r>
      <w:r w:rsidRPr="00E931DB">
        <w:rPr>
          <w:rFonts w:ascii="Segoe UI" w:hAnsi="Segoe UI" w:cs="Segoe UI"/>
          <w:color w:val="172B4D"/>
          <w:sz w:val="21"/>
          <w:szCs w:val="21"/>
          <w:lang w:val="en-US"/>
        </w:rPr>
        <w:t xml:space="preserve"> current not seasonally adjusted job vacancy rate </w:t>
      </w:r>
      <w:r w:rsidR="00260623" w:rsidRPr="00E931DB">
        <w:rPr>
          <w:rFonts w:ascii="Segoe UI" w:hAnsi="Segoe UI" w:cs="Segoe UI"/>
          <w:color w:val="172B4D"/>
          <w:sz w:val="21"/>
          <w:szCs w:val="21"/>
          <w:lang w:val="en-US"/>
        </w:rPr>
        <w:t>quarterly estimate</w:t>
      </w:r>
      <w:r w:rsidR="00AB25A5" w:rsidRPr="00E931DB">
        <w:rPr>
          <w:rFonts w:ascii="Segoe UI" w:hAnsi="Segoe UI" w:cs="Segoe UI"/>
          <w:color w:val="172B4D"/>
          <w:sz w:val="21"/>
          <w:szCs w:val="21"/>
          <w:lang w:val="en-US"/>
        </w:rPr>
        <w:t>s</w:t>
      </w:r>
      <w:r w:rsidR="00812397" w:rsidRPr="00E931DB">
        <w:rPr>
          <w:rFonts w:ascii="Segoe UI" w:hAnsi="Segoe UI" w:cs="Segoe UI"/>
          <w:color w:val="172B4D"/>
          <w:sz w:val="21"/>
          <w:szCs w:val="21"/>
          <w:lang w:val="en-US"/>
        </w:rPr>
        <w:t>,</w:t>
      </w:r>
      <w:r w:rsidRPr="00E931DB">
        <w:rPr>
          <w:rFonts w:ascii="Segoe UI" w:hAnsi="Segoe UI" w:cs="Segoe UI"/>
          <w:color w:val="172B4D"/>
          <w:sz w:val="21"/>
          <w:szCs w:val="21"/>
          <w:lang w:val="en-US"/>
        </w:rPr>
        <w:t xml:space="preserve"> derived from the Italian official survey</w:t>
      </w:r>
      <w:r w:rsidR="007358FF" w:rsidRPr="00E931DB">
        <w:rPr>
          <w:rFonts w:ascii="Segoe UI" w:hAnsi="Segoe UI" w:cs="Segoe UI"/>
          <w:color w:val="172B4D"/>
          <w:sz w:val="21"/>
          <w:szCs w:val="21"/>
          <w:lang w:val="en-US"/>
        </w:rPr>
        <w:t xml:space="preserve"> </w:t>
      </w:r>
      <w:r w:rsidR="00260623" w:rsidRPr="00E931DB">
        <w:rPr>
          <w:rFonts w:ascii="Segoe UI" w:hAnsi="Segoe UI" w:cs="Segoe UI"/>
          <w:color w:val="172B4D"/>
          <w:sz w:val="21"/>
          <w:szCs w:val="21"/>
          <w:lang w:val="en-US"/>
        </w:rPr>
        <w:t xml:space="preserve">(Figure </w:t>
      </w:r>
      <w:r w:rsidR="007358FF" w:rsidRPr="00E931DB">
        <w:rPr>
          <w:rFonts w:ascii="Segoe UI" w:hAnsi="Segoe UI" w:cs="Segoe UI"/>
          <w:color w:val="172B4D"/>
          <w:sz w:val="21"/>
          <w:szCs w:val="21"/>
          <w:lang w:val="en-US"/>
        </w:rPr>
        <w:t>2</w:t>
      </w:r>
      <w:r w:rsidR="00260623" w:rsidRPr="00E931DB">
        <w:rPr>
          <w:rFonts w:ascii="Segoe UI" w:hAnsi="Segoe UI" w:cs="Segoe UI"/>
          <w:color w:val="172B4D"/>
          <w:sz w:val="21"/>
          <w:szCs w:val="21"/>
          <w:lang w:val="en-US"/>
        </w:rPr>
        <w:t>).</w:t>
      </w:r>
    </w:p>
    <w:p w14:paraId="60C4A306" w14:textId="3DAFB482" w:rsidR="00260623" w:rsidRDefault="00260623" w:rsidP="00260623">
      <w:r w:rsidRPr="00BC7B4F">
        <w:rPr>
          <w:i/>
          <w:iCs/>
          <w:color w:val="44546A" w:themeColor="text2"/>
          <w:sz w:val="18"/>
          <w:szCs w:val="18"/>
          <w:lang w:val="en-GB"/>
        </w:rPr>
        <w:t xml:space="preserve">Figure </w:t>
      </w:r>
      <w:r w:rsidR="007358FF">
        <w:rPr>
          <w:i/>
          <w:iCs/>
          <w:color w:val="44546A" w:themeColor="text2"/>
          <w:sz w:val="18"/>
          <w:szCs w:val="18"/>
          <w:lang w:val="en-GB"/>
        </w:rPr>
        <w:t>2</w:t>
      </w:r>
      <w:r>
        <w:rPr>
          <w:i/>
          <w:iCs/>
          <w:color w:val="44546A" w:themeColor="text2"/>
          <w:sz w:val="18"/>
          <w:szCs w:val="18"/>
          <w:lang w:val="en-GB"/>
        </w:rPr>
        <w:t>: F</w:t>
      </w:r>
      <w:r w:rsidRPr="00BC7B4F">
        <w:rPr>
          <w:i/>
          <w:iCs/>
          <w:color w:val="44546A" w:themeColor="text2"/>
          <w:sz w:val="18"/>
          <w:szCs w:val="18"/>
          <w:lang w:val="en-GB"/>
        </w:rPr>
        <w:t>rom a quarterly to a monthly basis</w:t>
      </w:r>
      <w:r>
        <w:rPr>
          <w:i/>
          <w:iCs/>
          <w:color w:val="44546A" w:themeColor="text2"/>
          <w:sz w:val="18"/>
          <w:szCs w:val="18"/>
          <w:lang w:val="en-GB"/>
        </w:rPr>
        <w:t xml:space="preserve"> job vacancies rate estimate</w:t>
      </w:r>
      <w:r w:rsidR="000F580D">
        <w:rPr>
          <w:i/>
          <w:iCs/>
          <w:color w:val="44546A" w:themeColor="text2"/>
          <w:sz w:val="18"/>
          <w:szCs w:val="18"/>
          <w:lang w:val="en-GB"/>
        </w:rPr>
        <w:t>s</w:t>
      </w:r>
      <w:r w:rsidR="00C70933">
        <w:rPr>
          <w:i/>
          <w:iCs/>
          <w:color w:val="44546A" w:themeColor="text2"/>
          <w:sz w:val="18"/>
          <w:szCs w:val="18"/>
          <w:lang w:val="en-GB"/>
        </w:rPr>
        <w:t>: the Italian case</w:t>
      </w:r>
    </w:p>
    <w:p w14:paraId="72AEF5D1" w14:textId="77777777" w:rsidR="00260623" w:rsidRDefault="00260623" w:rsidP="00260623">
      <w:pPr>
        <w:rPr>
          <w:i/>
          <w:iCs/>
          <w:color w:val="44546A" w:themeColor="text2"/>
          <w:sz w:val="18"/>
          <w:szCs w:val="18"/>
          <w:lang w:val="en-GB"/>
        </w:rPr>
      </w:pPr>
      <w:r>
        <w:rPr>
          <w:noProof/>
          <w:lang w:val="it-IT" w:eastAsia="it-IT"/>
        </w:rPr>
        <w:drawing>
          <wp:inline distT="0" distB="0" distL="0" distR="0" wp14:anchorId="44E73C80" wp14:editId="7608D768">
            <wp:extent cx="4572000" cy="27432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EE792B4" w14:textId="77F56CC4" w:rsidR="00260623" w:rsidRPr="00E931DB" w:rsidRDefault="00260623" w:rsidP="00E90C8F">
      <w:pPr>
        <w:jc w:val="both"/>
        <w:rPr>
          <w:rFonts w:ascii="Segoe UI" w:hAnsi="Segoe UI" w:cs="Segoe UI"/>
          <w:color w:val="172B4D"/>
          <w:sz w:val="21"/>
          <w:szCs w:val="21"/>
          <w:lang w:val="en-US"/>
        </w:rPr>
      </w:pPr>
      <w:r w:rsidRPr="00E931DB">
        <w:rPr>
          <w:rFonts w:ascii="Segoe UI" w:hAnsi="Segoe UI" w:cs="Segoe UI"/>
          <w:color w:val="172B4D"/>
          <w:sz w:val="21"/>
          <w:szCs w:val="21"/>
          <w:lang w:val="en-US"/>
        </w:rPr>
        <w:lastRenderedPageBreak/>
        <w:t xml:space="preserve">Table 1 shows the </w:t>
      </w:r>
      <w:r w:rsidR="00E90C8F" w:rsidRPr="00E931DB">
        <w:rPr>
          <w:rFonts w:ascii="Segoe UI" w:hAnsi="Segoe UI" w:cs="Segoe UI"/>
          <w:color w:val="172B4D"/>
          <w:sz w:val="21"/>
          <w:szCs w:val="21"/>
          <w:lang w:val="en-US"/>
        </w:rPr>
        <w:t>vacancy rate changes (percentage points differences), calculated comparing the vacancy rates to the same period, month or quarter, of the previous year</w:t>
      </w:r>
      <w:r w:rsidRPr="00E931DB">
        <w:rPr>
          <w:rFonts w:ascii="Segoe UI" w:hAnsi="Segoe UI" w:cs="Segoe UI"/>
          <w:color w:val="172B4D"/>
          <w:sz w:val="21"/>
          <w:szCs w:val="21"/>
          <w:lang w:val="en-US"/>
        </w:rPr>
        <w:t xml:space="preserve">. It is interesting to note, for example, that the growth in the vacancy rate in the third quarter of 2019 (+0.1) is </w:t>
      </w:r>
      <w:r w:rsidR="00964F94" w:rsidRPr="00E931DB">
        <w:rPr>
          <w:rFonts w:ascii="Segoe UI" w:hAnsi="Segoe UI" w:cs="Segoe UI"/>
          <w:color w:val="172B4D"/>
          <w:sz w:val="21"/>
          <w:szCs w:val="21"/>
          <w:lang w:val="en-US"/>
        </w:rPr>
        <w:t>mainly</w:t>
      </w:r>
      <w:r w:rsidRPr="00E931DB">
        <w:rPr>
          <w:rFonts w:ascii="Segoe UI" w:hAnsi="Segoe UI" w:cs="Segoe UI"/>
          <w:color w:val="172B4D"/>
          <w:sz w:val="21"/>
          <w:szCs w:val="21"/>
          <w:lang w:val="en-US"/>
        </w:rPr>
        <w:t xml:space="preserve"> due to the growth in the vacancy rate in September 2019 with respect to September 2018 (+0.6).</w:t>
      </w:r>
    </w:p>
    <w:p w14:paraId="1D5A85C1" w14:textId="77777777" w:rsidR="00EE31A1" w:rsidRPr="005F4356" w:rsidRDefault="00EE31A1" w:rsidP="00E90C8F">
      <w:pPr>
        <w:jc w:val="both"/>
        <w:rPr>
          <w:lang w:val="en-GB"/>
        </w:rPr>
      </w:pPr>
    </w:p>
    <w:p w14:paraId="742E5AA8" w14:textId="683DF385" w:rsidR="00260623" w:rsidRDefault="00260623" w:rsidP="00260623">
      <w:pPr>
        <w:rPr>
          <w:i/>
          <w:iCs/>
          <w:color w:val="44546A" w:themeColor="text2"/>
          <w:sz w:val="18"/>
          <w:szCs w:val="18"/>
          <w:lang w:val="en-GB"/>
        </w:rPr>
      </w:pPr>
      <w:r>
        <w:rPr>
          <w:i/>
          <w:iCs/>
          <w:color w:val="44546A" w:themeColor="text2"/>
          <w:sz w:val="18"/>
          <w:szCs w:val="18"/>
          <w:lang w:val="en-GB"/>
        </w:rPr>
        <w:t xml:space="preserve">Table 1: </w:t>
      </w:r>
      <w:r w:rsidR="00C70933">
        <w:rPr>
          <w:i/>
          <w:iCs/>
          <w:color w:val="44546A" w:themeColor="text2"/>
          <w:sz w:val="18"/>
          <w:szCs w:val="18"/>
          <w:lang w:val="en-GB"/>
        </w:rPr>
        <w:t>Year on year c</w:t>
      </w:r>
      <w:r>
        <w:rPr>
          <w:i/>
          <w:iCs/>
          <w:color w:val="44546A" w:themeColor="text2"/>
          <w:sz w:val="18"/>
          <w:szCs w:val="18"/>
          <w:lang w:val="en-GB"/>
        </w:rPr>
        <w:t>hange in the job vacancy rate (</w:t>
      </w:r>
      <w:r w:rsidR="00C70933">
        <w:rPr>
          <w:i/>
          <w:iCs/>
          <w:color w:val="44546A" w:themeColor="text2"/>
          <w:sz w:val="18"/>
          <w:szCs w:val="18"/>
          <w:lang w:val="en-GB"/>
        </w:rPr>
        <w:t xml:space="preserve">percentage points </w:t>
      </w:r>
      <w:r w:rsidR="006F112D">
        <w:rPr>
          <w:i/>
          <w:iCs/>
          <w:color w:val="44546A" w:themeColor="text2"/>
          <w:sz w:val="18"/>
          <w:szCs w:val="18"/>
          <w:lang w:val="en-GB"/>
        </w:rPr>
        <w:t>difference): the Italian case</w:t>
      </w:r>
    </w:p>
    <w:tbl>
      <w:tblPr>
        <w:tblW w:w="5000" w:type="pct"/>
        <w:tblCellMar>
          <w:left w:w="70" w:type="dxa"/>
          <w:right w:w="70" w:type="dxa"/>
        </w:tblCellMar>
        <w:tblLook w:val="0600" w:firstRow="0" w:lastRow="0" w:firstColumn="0" w:lastColumn="0" w:noHBand="1" w:noVBand="1"/>
      </w:tblPr>
      <w:tblGrid>
        <w:gridCol w:w="1873"/>
        <w:gridCol w:w="1991"/>
        <w:gridCol w:w="2460"/>
        <w:gridCol w:w="2692"/>
      </w:tblGrid>
      <w:tr w:rsidR="00260623" w:rsidRPr="005F4356" w14:paraId="66917C6E" w14:textId="77777777" w:rsidTr="00F66278">
        <w:trPr>
          <w:trHeight w:val="300"/>
        </w:trPr>
        <w:tc>
          <w:tcPr>
            <w:tcW w:w="1039"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3158C28A" w14:textId="77777777" w:rsidR="00260623" w:rsidRPr="00F66278" w:rsidRDefault="00260623" w:rsidP="008E2DEF">
            <w:pPr>
              <w:jc w:val="both"/>
              <w:rPr>
                <w:rFonts w:ascii="Segoe UI" w:hAnsi="Segoe UI" w:cs="Segoe UI"/>
                <w:b/>
                <w:color w:val="172B4D"/>
                <w:sz w:val="21"/>
                <w:szCs w:val="21"/>
                <w:lang w:val="en-US"/>
              </w:rPr>
            </w:pPr>
            <w:r w:rsidRPr="00F66278">
              <w:rPr>
                <w:rFonts w:ascii="Segoe UI" w:hAnsi="Segoe UI" w:cs="Segoe UI"/>
                <w:b/>
                <w:color w:val="172B4D"/>
                <w:sz w:val="21"/>
                <w:szCs w:val="21"/>
                <w:lang w:val="en-US"/>
              </w:rPr>
              <w:t>Quarter</w:t>
            </w:r>
          </w:p>
        </w:tc>
        <w:tc>
          <w:tcPr>
            <w:tcW w:w="1104" w:type="pct"/>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352BE400" w14:textId="77777777" w:rsidR="00260623" w:rsidRPr="00F66278" w:rsidRDefault="00260623" w:rsidP="00577DAA">
            <w:pPr>
              <w:jc w:val="center"/>
              <w:rPr>
                <w:rFonts w:ascii="Segoe UI" w:hAnsi="Segoe UI" w:cs="Segoe UI"/>
                <w:b/>
                <w:color w:val="172B4D"/>
                <w:sz w:val="21"/>
                <w:szCs w:val="21"/>
                <w:lang w:val="en-US"/>
              </w:rPr>
            </w:pPr>
            <w:r w:rsidRPr="00F66278">
              <w:rPr>
                <w:rFonts w:ascii="Segoe UI" w:hAnsi="Segoe UI" w:cs="Segoe UI"/>
                <w:b/>
                <w:color w:val="172B4D"/>
                <w:sz w:val="21"/>
                <w:szCs w:val="21"/>
                <w:lang w:val="en-US"/>
              </w:rPr>
              <w:t>Month</w:t>
            </w:r>
          </w:p>
        </w:tc>
        <w:tc>
          <w:tcPr>
            <w:tcW w:w="136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FD6B2DB" w14:textId="77777777" w:rsidR="00260623" w:rsidRPr="00F66278" w:rsidRDefault="00260623" w:rsidP="00577DAA">
            <w:pPr>
              <w:jc w:val="center"/>
              <w:rPr>
                <w:rFonts w:ascii="Segoe UI" w:hAnsi="Segoe UI" w:cs="Segoe UI"/>
                <w:b/>
                <w:color w:val="172B4D"/>
                <w:sz w:val="21"/>
                <w:szCs w:val="21"/>
                <w:lang w:val="en-US"/>
              </w:rPr>
            </w:pPr>
            <w:r w:rsidRPr="00F66278">
              <w:rPr>
                <w:rFonts w:ascii="Segoe UI" w:hAnsi="Segoe UI" w:cs="Segoe UI"/>
                <w:b/>
                <w:color w:val="172B4D"/>
                <w:sz w:val="21"/>
                <w:szCs w:val="21"/>
                <w:lang w:val="en-US"/>
              </w:rPr>
              <w:t>Change in monthly JVR</w:t>
            </w:r>
          </w:p>
        </w:tc>
        <w:tc>
          <w:tcPr>
            <w:tcW w:w="149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A987A1D" w14:textId="77777777" w:rsidR="00260623" w:rsidRPr="00F66278" w:rsidRDefault="00260623" w:rsidP="00577DAA">
            <w:pPr>
              <w:jc w:val="center"/>
              <w:rPr>
                <w:rFonts w:ascii="Segoe UI" w:hAnsi="Segoe UI" w:cs="Segoe UI"/>
                <w:b/>
                <w:color w:val="172B4D"/>
                <w:sz w:val="21"/>
                <w:szCs w:val="21"/>
                <w:lang w:val="en-US"/>
              </w:rPr>
            </w:pPr>
            <w:r w:rsidRPr="00F66278">
              <w:rPr>
                <w:rFonts w:ascii="Segoe UI" w:hAnsi="Segoe UI" w:cs="Segoe UI"/>
                <w:b/>
                <w:color w:val="172B4D"/>
                <w:sz w:val="21"/>
                <w:szCs w:val="21"/>
                <w:lang w:val="en-US"/>
              </w:rPr>
              <w:t>Change in quarterly JVR</w:t>
            </w:r>
          </w:p>
        </w:tc>
      </w:tr>
      <w:tr w:rsidR="00260623" w:rsidRPr="005F4356" w14:paraId="7C78B7AF" w14:textId="77777777" w:rsidTr="00EC2495">
        <w:trPr>
          <w:trHeight w:val="300"/>
        </w:trPr>
        <w:tc>
          <w:tcPr>
            <w:tcW w:w="1039" w:type="pct"/>
            <w:tcBorders>
              <w:top w:val="nil"/>
              <w:left w:val="single" w:sz="4" w:space="0" w:color="auto"/>
              <w:bottom w:val="single" w:sz="4" w:space="0" w:color="auto"/>
              <w:right w:val="single" w:sz="4" w:space="0" w:color="auto"/>
            </w:tcBorders>
            <w:shd w:val="clear" w:color="auto" w:fill="auto"/>
            <w:noWrap/>
            <w:vAlign w:val="bottom"/>
            <w:hideMark/>
          </w:tcPr>
          <w:p w14:paraId="765F7641" w14:textId="398CF751" w:rsidR="00260623" w:rsidRPr="008E2DEF" w:rsidRDefault="005001FB" w:rsidP="008E2DEF">
            <w:pPr>
              <w:jc w:val="both"/>
              <w:rPr>
                <w:rFonts w:ascii="Segoe UI" w:hAnsi="Segoe UI" w:cs="Segoe UI"/>
                <w:color w:val="172B4D"/>
                <w:sz w:val="21"/>
                <w:szCs w:val="21"/>
                <w:lang w:val="en-US"/>
              </w:rPr>
            </w:pPr>
            <w:r>
              <w:rPr>
                <w:rFonts w:ascii="Segoe UI" w:hAnsi="Segoe UI" w:cs="Segoe UI"/>
                <w:b/>
                <w:color w:val="172B4D"/>
                <w:sz w:val="21"/>
                <w:szCs w:val="21"/>
                <w:lang w:val="en-US"/>
              </w:rPr>
              <w:t>Q</w:t>
            </w:r>
            <w:r w:rsidRPr="00F66278">
              <w:rPr>
                <w:rFonts w:ascii="Segoe UI" w:hAnsi="Segoe UI" w:cs="Segoe UI"/>
                <w:b/>
                <w:color w:val="172B4D"/>
                <w:sz w:val="21"/>
                <w:szCs w:val="21"/>
                <w:lang w:val="en-US"/>
              </w:rPr>
              <w:t>3-</w:t>
            </w:r>
            <w:r>
              <w:rPr>
                <w:rFonts w:ascii="Segoe UI" w:hAnsi="Segoe UI" w:cs="Segoe UI"/>
                <w:b/>
                <w:color w:val="172B4D"/>
                <w:sz w:val="21"/>
                <w:szCs w:val="21"/>
                <w:lang w:val="en-US"/>
              </w:rPr>
              <w:t>20</w:t>
            </w:r>
            <w:r w:rsidRPr="00F66278">
              <w:rPr>
                <w:rFonts w:ascii="Segoe UI" w:hAnsi="Segoe UI" w:cs="Segoe UI"/>
                <w:b/>
                <w:color w:val="172B4D"/>
                <w:sz w:val="21"/>
                <w:szCs w:val="21"/>
                <w:lang w:val="en-US"/>
              </w:rPr>
              <w:t>19</w:t>
            </w:r>
          </w:p>
        </w:tc>
        <w:tc>
          <w:tcPr>
            <w:tcW w:w="1104" w:type="pct"/>
            <w:tcBorders>
              <w:top w:val="nil"/>
              <w:left w:val="nil"/>
              <w:bottom w:val="single" w:sz="4" w:space="0" w:color="auto"/>
              <w:right w:val="single" w:sz="4" w:space="0" w:color="auto"/>
            </w:tcBorders>
            <w:shd w:val="clear" w:color="auto" w:fill="auto"/>
            <w:noWrap/>
            <w:vAlign w:val="bottom"/>
            <w:hideMark/>
          </w:tcPr>
          <w:p w14:paraId="474883D7" w14:textId="02B46CDA"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7/</w:t>
            </w:r>
            <w:r w:rsidR="00577DAA">
              <w:rPr>
                <w:rFonts w:ascii="Segoe UI" w:hAnsi="Segoe UI" w:cs="Segoe UI"/>
                <w:color w:val="172B4D"/>
                <w:sz w:val="21"/>
                <w:szCs w:val="21"/>
                <w:lang w:val="en-US"/>
              </w:rPr>
              <w:t>20</w:t>
            </w:r>
            <w:r w:rsidRPr="008E2DEF">
              <w:rPr>
                <w:rFonts w:ascii="Segoe UI" w:hAnsi="Segoe UI" w:cs="Segoe UI"/>
                <w:color w:val="172B4D"/>
                <w:sz w:val="21"/>
                <w:szCs w:val="21"/>
                <w:lang w:val="en-US"/>
              </w:rPr>
              <w:t>19</w:t>
            </w:r>
          </w:p>
        </w:tc>
        <w:tc>
          <w:tcPr>
            <w:tcW w:w="1364" w:type="pct"/>
            <w:tcBorders>
              <w:top w:val="nil"/>
              <w:left w:val="nil"/>
              <w:bottom w:val="single" w:sz="4" w:space="0" w:color="auto"/>
              <w:right w:val="single" w:sz="4" w:space="0" w:color="auto"/>
            </w:tcBorders>
            <w:shd w:val="clear" w:color="auto" w:fill="auto"/>
            <w:noWrap/>
            <w:vAlign w:val="bottom"/>
            <w:hideMark/>
          </w:tcPr>
          <w:p w14:paraId="43F69C0F" w14:textId="77777777"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0</w:t>
            </w:r>
          </w:p>
        </w:tc>
        <w:tc>
          <w:tcPr>
            <w:tcW w:w="1494" w:type="pct"/>
            <w:tcBorders>
              <w:top w:val="nil"/>
              <w:left w:val="nil"/>
              <w:bottom w:val="single" w:sz="4" w:space="0" w:color="auto"/>
              <w:right w:val="single" w:sz="4" w:space="0" w:color="auto"/>
            </w:tcBorders>
            <w:shd w:val="clear" w:color="auto" w:fill="auto"/>
            <w:noWrap/>
            <w:vAlign w:val="bottom"/>
            <w:hideMark/>
          </w:tcPr>
          <w:p w14:paraId="66CDB3D4" w14:textId="77777777"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0.1</w:t>
            </w:r>
          </w:p>
        </w:tc>
      </w:tr>
      <w:tr w:rsidR="00260623" w:rsidRPr="005F4356" w14:paraId="57C6887C" w14:textId="77777777" w:rsidTr="00EC2495">
        <w:trPr>
          <w:trHeight w:val="300"/>
        </w:trPr>
        <w:tc>
          <w:tcPr>
            <w:tcW w:w="1039" w:type="pct"/>
            <w:tcBorders>
              <w:top w:val="nil"/>
              <w:left w:val="single" w:sz="4" w:space="0" w:color="auto"/>
              <w:bottom w:val="single" w:sz="4" w:space="0" w:color="auto"/>
              <w:right w:val="single" w:sz="4" w:space="0" w:color="auto"/>
            </w:tcBorders>
            <w:shd w:val="clear" w:color="auto" w:fill="auto"/>
            <w:noWrap/>
            <w:vAlign w:val="bottom"/>
            <w:hideMark/>
          </w:tcPr>
          <w:p w14:paraId="3E2BB574" w14:textId="151C591C" w:rsidR="00260623" w:rsidRPr="008E2DEF" w:rsidRDefault="005001FB" w:rsidP="008E2DEF">
            <w:pPr>
              <w:jc w:val="both"/>
              <w:rPr>
                <w:rFonts w:ascii="Segoe UI" w:hAnsi="Segoe UI" w:cs="Segoe UI"/>
                <w:color w:val="172B4D"/>
                <w:sz w:val="21"/>
                <w:szCs w:val="21"/>
                <w:lang w:val="en-US"/>
              </w:rPr>
            </w:pPr>
            <w:r>
              <w:rPr>
                <w:rFonts w:ascii="Segoe UI" w:hAnsi="Segoe UI" w:cs="Segoe UI"/>
                <w:b/>
                <w:color w:val="172B4D"/>
                <w:sz w:val="21"/>
                <w:szCs w:val="21"/>
                <w:lang w:val="en-US"/>
              </w:rPr>
              <w:t>Q</w:t>
            </w:r>
            <w:r w:rsidRPr="00F66278">
              <w:rPr>
                <w:rFonts w:ascii="Segoe UI" w:hAnsi="Segoe UI" w:cs="Segoe UI"/>
                <w:b/>
                <w:color w:val="172B4D"/>
                <w:sz w:val="21"/>
                <w:szCs w:val="21"/>
                <w:lang w:val="en-US"/>
              </w:rPr>
              <w:t>3-</w:t>
            </w:r>
            <w:r>
              <w:rPr>
                <w:rFonts w:ascii="Segoe UI" w:hAnsi="Segoe UI" w:cs="Segoe UI"/>
                <w:b/>
                <w:color w:val="172B4D"/>
                <w:sz w:val="21"/>
                <w:szCs w:val="21"/>
                <w:lang w:val="en-US"/>
              </w:rPr>
              <w:t>20</w:t>
            </w:r>
            <w:r w:rsidRPr="00F66278">
              <w:rPr>
                <w:rFonts w:ascii="Segoe UI" w:hAnsi="Segoe UI" w:cs="Segoe UI"/>
                <w:b/>
                <w:color w:val="172B4D"/>
                <w:sz w:val="21"/>
                <w:szCs w:val="21"/>
                <w:lang w:val="en-US"/>
              </w:rPr>
              <w:t>19</w:t>
            </w:r>
          </w:p>
        </w:tc>
        <w:tc>
          <w:tcPr>
            <w:tcW w:w="1104" w:type="pct"/>
            <w:tcBorders>
              <w:top w:val="nil"/>
              <w:left w:val="nil"/>
              <w:bottom w:val="single" w:sz="4" w:space="0" w:color="auto"/>
              <w:right w:val="single" w:sz="4" w:space="0" w:color="auto"/>
            </w:tcBorders>
            <w:shd w:val="clear" w:color="auto" w:fill="auto"/>
            <w:noWrap/>
            <w:vAlign w:val="bottom"/>
            <w:hideMark/>
          </w:tcPr>
          <w:p w14:paraId="2DDCE6CD" w14:textId="0EC60804"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8/</w:t>
            </w:r>
            <w:r w:rsidR="00577DAA">
              <w:rPr>
                <w:rFonts w:ascii="Segoe UI" w:hAnsi="Segoe UI" w:cs="Segoe UI"/>
                <w:color w:val="172B4D"/>
                <w:sz w:val="21"/>
                <w:szCs w:val="21"/>
                <w:lang w:val="en-US"/>
              </w:rPr>
              <w:t>20</w:t>
            </w:r>
            <w:r w:rsidRPr="008E2DEF">
              <w:rPr>
                <w:rFonts w:ascii="Segoe UI" w:hAnsi="Segoe UI" w:cs="Segoe UI"/>
                <w:color w:val="172B4D"/>
                <w:sz w:val="21"/>
                <w:szCs w:val="21"/>
                <w:lang w:val="en-US"/>
              </w:rPr>
              <w:t>19</w:t>
            </w:r>
          </w:p>
        </w:tc>
        <w:tc>
          <w:tcPr>
            <w:tcW w:w="1364" w:type="pct"/>
            <w:tcBorders>
              <w:top w:val="nil"/>
              <w:left w:val="nil"/>
              <w:bottom w:val="single" w:sz="4" w:space="0" w:color="auto"/>
              <w:right w:val="single" w:sz="4" w:space="0" w:color="auto"/>
            </w:tcBorders>
            <w:shd w:val="clear" w:color="auto" w:fill="auto"/>
            <w:noWrap/>
            <w:vAlign w:val="bottom"/>
            <w:hideMark/>
          </w:tcPr>
          <w:p w14:paraId="0E8F2124" w14:textId="77777777"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-0.2</w:t>
            </w:r>
          </w:p>
        </w:tc>
        <w:tc>
          <w:tcPr>
            <w:tcW w:w="1494" w:type="pct"/>
            <w:tcBorders>
              <w:top w:val="nil"/>
              <w:left w:val="nil"/>
              <w:bottom w:val="single" w:sz="4" w:space="0" w:color="auto"/>
              <w:right w:val="single" w:sz="4" w:space="0" w:color="auto"/>
            </w:tcBorders>
            <w:shd w:val="clear" w:color="auto" w:fill="auto"/>
            <w:noWrap/>
            <w:vAlign w:val="bottom"/>
            <w:hideMark/>
          </w:tcPr>
          <w:p w14:paraId="23F70D50" w14:textId="77777777"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0.1</w:t>
            </w:r>
          </w:p>
        </w:tc>
      </w:tr>
      <w:tr w:rsidR="00260623" w:rsidRPr="005F4356" w14:paraId="44DFC5E7" w14:textId="77777777" w:rsidTr="00EC2495">
        <w:trPr>
          <w:trHeight w:val="300"/>
        </w:trPr>
        <w:tc>
          <w:tcPr>
            <w:tcW w:w="1039" w:type="pct"/>
            <w:tcBorders>
              <w:top w:val="nil"/>
              <w:left w:val="single" w:sz="4" w:space="0" w:color="auto"/>
              <w:bottom w:val="single" w:sz="4" w:space="0" w:color="auto"/>
              <w:right w:val="single" w:sz="4" w:space="0" w:color="auto"/>
            </w:tcBorders>
            <w:shd w:val="clear" w:color="auto" w:fill="auto"/>
            <w:noWrap/>
            <w:vAlign w:val="bottom"/>
            <w:hideMark/>
          </w:tcPr>
          <w:p w14:paraId="766ECF64" w14:textId="345B0F85" w:rsidR="00260623" w:rsidRPr="008E2DEF" w:rsidRDefault="005001FB" w:rsidP="008E2DEF">
            <w:pPr>
              <w:jc w:val="both"/>
              <w:rPr>
                <w:rFonts w:ascii="Segoe UI" w:hAnsi="Segoe UI" w:cs="Segoe UI"/>
                <w:color w:val="172B4D"/>
                <w:sz w:val="21"/>
                <w:szCs w:val="21"/>
                <w:lang w:val="en-US"/>
              </w:rPr>
            </w:pPr>
            <w:r>
              <w:rPr>
                <w:rFonts w:ascii="Segoe UI" w:hAnsi="Segoe UI" w:cs="Segoe UI"/>
                <w:b/>
                <w:color w:val="172B4D"/>
                <w:sz w:val="21"/>
                <w:szCs w:val="21"/>
                <w:lang w:val="en-US"/>
              </w:rPr>
              <w:t>Q</w:t>
            </w:r>
            <w:r w:rsidRPr="00F66278">
              <w:rPr>
                <w:rFonts w:ascii="Segoe UI" w:hAnsi="Segoe UI" w:cs="Segoe UI"/>
                <w:b/>
                <w:color w:val="172B4D"/>
                <w:sz w:val="21"/>
                <w:szCs w:val="21"/>
                <w:lang w:val="en-US"/>
              </w:rPr>
              <w:t>3-</w:t>
            </w:r>
            <w:r>
              <w:rPr>
                <w:rFonts w:ascii="Segoe UI" w:hAnsi="Segoe UI" w:cs="Segoe UI"/>
                <w:b/>
                <w:color w:val="172B4D"/>
                <w:sz w:val="21"/>
                <w:szCs w:val="21"/>
                <w:lang w:val="en-US"/>
              </w:rPr>
              <w:t>20</w:t>
            </w:r>
            <w:r w:rsidRPr="00F66278">
              <w:rPr>
                <w:rFonts w:ascii="Segoe UI" w:hAnsi="Segoe UI" w:cs="Segoe UI"/>
                <w:b/>
                <w:color w:val="172B4D"/>
                <w:sz w:val="21"/>
                <w:szCs w:val="21"/>
                <w:lang w:val="en-US"/>
              </w:rPr>
              <w:t>19</w:t>
            </w:r>
          </w:p>
        </w:tc>
        <w:tc>
          <w:tcPr>
            <w:tcW w:w="1104" w:type="pct"/>
            <w:tcBorders>
              <w:top w:val="nil"/>
              <w:left w:val="nil"/>
              <w:bottom w:val="single" w:sz="4" w:space="0" w:color="auto"/>
              <w:right w:val="single" w:sz="4" w:space="0" w:color="auto"/>
            </w:tcBorders>
            <w:shd w:val="clear" w:color="auto" w:fill="auto"/>
            <w:noWrap/>
            <w:vAlign w:val="bottom"/>
            <w:hideMark/>
          </w:tcPr>
          <w:p w14:paraId="14172113" w14:textId="7C0B7B64"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9/</w:t>
            </w:r>
            <w:r w:rsidR="00577DAA">
              <w:rPr>
                <w:rFonts w:ascii="Segoe UI" w:hAnsi="Segoe UI" w:cs="Segoe UI"/>
                <w:color w:val="172B4D"/>
                <w:sz w:val="21"/>
                <w:szCs w:val="21"/>
                <w:lang w:val="en-US"/>
              </w:rPr>
              <w:t>20</w:t>
            </w:r>
            <w:r w:rsidRPr="008E2DEF">
              <w:rPr>
                <w:rFonts w:ascii="Segoe UI" w:hAnsi="Segoe UI" w:cs="Segoe UI"/>
                <w:color w:val="172B4D"/>
                <w:sz w:val="21"/>
                <w:szCs w:val="21"/>
                <w:lang w:val="en-US"/>
              </w:rPr>
              <w:t>19</w:t>
            </w:r>
          </w:p>
        </w:tc>
        <w:tc>
          <w:tcPr>
            <w:tcW w:w="1364" w:type="pct"/>
            <w:tcBorders>
              <w:top w:val="nil"/>
              <w:left w:val="nil"/>
              <w:bottom w:val="single" w:sz="4" w:space="0" w:color="auto"/>
              <w:right w:val="single" w:sz="4" w:space="0" w:color="auto"/>
            </w:tcBorders>
            <w:shd w:val="clear" w:color="auto" w:fill="auto"/>
            <w:noWrap/>
            <w:vAlign w:val="bottom"/>
            <w:hideMark/>
          </w:tcPr>
          <w:p w14:paraId="565C7F30" w14:textId="77777777"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0.6</w:t>
            </w:r>
          </w:p>
        </w:tc>
        <w:tc>
          <w:tcPr>
            <w:tcW w:w="1494" w:type="pct"/>
            <w:tcBorders>
              <w:top w:val="nil"/>
              <w:left w:val="nil"/>
              <w:bottom w:val="single" w:sz="4" w:space="0" w:color="auto"/>
              <w:right w:val="single" w:sz="4" w:space="0" w:color="auto"/>
            </w:tcBorders>
            <w:shd w:val="clear" w:color="auto" w:fill="auto"/>
            <w:noWrap/>
            <w:vAlign w:val="bottom"/>
            <w:hideMark/>
          </w:tcPr>
          <w:p w14:paraId="35883180" w14:textId="77777777"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0.1</w:t>
            </w:r>
          </w:p>
        </w:tc>
      </w:tr>
      <w:tr w:rsidR="00260623" w:rsidRPr="005F4356" w14:paraId="571883D2" w14:textId="77777777" w:rsidTr="00EC2495">
        <w:trPr>
          <w:trHeight w:val="300"/>
        </w:trPr>
        <w:tc>
          <w:tcPr>
            <w:tcW w:w="1039" w:type="pct"/>
            <w:tcBorders>
              <w:top w:val="nil"/>
              <w:left w:val="single" w:sz="4" w:space="0" w:color="auto"/>
              <w:bottom w:val="single" w:sz="4" w:space="0" w:color="auto"/>
              <w:right w:val="single" w:sz="4" w:space="0" w:color="auto"/>
            </w:tcBorders>
            <w:shd w:val="clear" w:color="auto" w:fill="auto"/>
            <w:noWrap/>
            <w:vAlign w:val="bottom"/>
            <w:hideMark/>
          </w:tcPr>
          <w:p w14:paraId="57B816EB" w14:textId="315931A6" w:rsidR="00260623" w:rsidRPr="008E2DEF" w:rsidRDefault="005001FB" w:rsidP="005001FB">
            <w:pPr>
              <w:jc w:val="both"/>
              <w:rPr>
                <w:rFonts w:ascii="Segoe UI" w:hAnsi="Segoe UI" w:cs="Segoe UI"/>
                <w:color w:val="172B4D"/>
                <w:sz w:val="21"/>
                <w:szCs w:val="21"/>
                <w:lang w:val="en-US"/>
              </w:rPr>
            </w:pPr>
            <w:r>
              <w:rPr>
                <w:rFonts w:ascii="Segoe UI" w:hAnsi="Segoe UI" w:cs="Segoe UI"/>
                <w:b/>
                <w:color w:val="172B4D"/>
                <w:sz w:val="21"/>
                <w:szCs w:val="21"/>
                <w:lang w:val="en-US"/>
              </w:rPr>
              <w:t>Q4</w:t>
            </w:r>
            <w:r w:rsidRPr="00F66278">
              <w:rPr>
                <w:rFonts w:ascii="Segoe UI" w:hAnsi="Segoe UI" w:cs="Segoe UI"/>
                <w:b/>
                <w:color w:val="172B4D"/>
                <w:sz w:val="21"/>
                <w:szCs w:val="21"/>
                <w:lang w:val="en-US"/>
              </w:rPr>
              <w:t>-</w:t>
            </w:r>
            <w:r>
              <w:rPr>
                <w:rFonts w:ascii="Segoe UI" w:hAnsi="Segoe UI" w:cs="Segoe UI"/>
                <w:b/>
                <w:color w:val="172B4D"/>
                <w:sz w:val="21"/>
                <w:szCs w:val="21"/>
                <w:lang w:val="en-US"/>
              </w:rPr>
              <w:t>20</w:t>
            </w:r>
            <w:r w:rsidRPr="00F66278">
              <w:rPr>
                <w:rFonts w:ascii="Segoe UI" w:hAnsi="Segoe UI" w:cs="Segoe UI"/>
                <w:b/>
                <w:color w:val="172B4D"/>
                <w:sz w:val="21"/>
                <w:szCs w:val="21"/>
                <w:lang w:val="en-US"/>
              </w:rPr>
              <w:t>19</w:t>
            </w:r>
          </w:p>
        </w:tc>
        <w:tc>
          <w:tcPr>
            <w:tcW w:w="1104" w:type="pct"/>
            <w:tcBorders>
              <w:top w:val="nil"/>
              <w:left w:val="nil"/>
              <w:bottom w:val="single" w:sz="4" w:space="0" w:color="auto"/>
              <w:right w:val="single" w:sz="4" w:space="0" w:color="auto"/>
            </w:tcBorders>
            <w:shd w:val="clear" w:color="auto" w:fill="auto"/>
            <w:noWrap/>
            <w:vAlign w:val="bottom"/>
            <w:hideMark/>
          </w:tcPr>
          <w:p w14:paraId="4C5413B5" w14:textId="6F3817F6"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10/</w:t>
            </w:r>
            <w:r w:rsidR="00577DAA">
              <w:rPr>
                <w:rFonts w:ascii="Segoe UI" w:hAnsi="Segoe UI" w:cs="Segoe UI"/>
                <w:color w:val="172B4D"/>
                <w:sz w:val="21"/>
                <w:szCs w:val="21"/>
                <w:lang w:val="en-US"/>
              </w:rPr>
              <w:t>20</w:t>
            </w:r>
            <w:r w:rsidRPr="008E2DEF">
              <w:rPr>
                <w:rFonts w:ascii="Segoe UI" w:hAnsi="Segoe UI" w:cs="Segoe UI"/>
                <w:color w:val="172B4D"/>
                <w:sz w:val="21"/>
                <w:szCs w:val="21"/>
                <w:lang w:val="en-US"/>
              </w:rPr>
              <w:t>19</w:t>
            </w:r>
          </w:p>
        </w:tc>
        <w:tc>
          <w:tcPr>
            <w:tcW w:w="1364" w:type="pct"/>
            <w:tcBorders>
              <w:top w:val="nil"/>
              <w:left w:val="nil"/>
              <w:bottom w:val="single" w:sz="4" w:space="0" w:color="auto"/>
              <w:right w:val="single" w:sz="4" w:space="0" w:color="auto"/>
            </w:tcBorders>
            <w:shd w:val="clear" w:color="auto" w:fill="auto"/>
            <w:noWrap/>
            <w:vAlign w:val="bottom"/>
            <w:hideMark/>
          </w:tcPr>
          <w:p w14:paraId="5084D487" w14:textId="77777777"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0.1</w:t>
            </w:r>
          </w:p>
        </w:tc>
        <w:tc>
          <w:tcPr>
            <w:tcW w:w="1494" w:type="pct"/>
            <w:tcBorders>
              <w:top w:val="nil"/>
              <w:left w:val="nil"/>
              <w:bottom w:val="single" w:sz="4" w:space="0" w:color="auto"/>
              <w:right w:val="single" w:sz="4" w:space="0" w:color="auto"/>
            </w:tcBorders>
            <w:shd w:val="clear" w:color="auto" w:fill="auto"/>
            <w:noWrap/>
            <w:vAlign w:val="bottom"/>
            <w:hideMark/>
          </w:tcPr>
          <w:p w14:paraId="12DA2DB7" w14:textId="77777777"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0</w:t>
            </w:r>
          </w:p>
        </w:tc>
      </w:tr>
      <w:tr w:rsidR="00260623" w:rsidRPr="005F4356" w14:paraId="6549C141" w14:textId="77777777" w:rsidTr="00EC2495">
        <w:trPr>
          <w:trHeight w:val="300"/>
        </w:trPr>
        <w:tc>
          <w:tcPr>
            <w:tcW w:w="1039" w:type="pct"/>
            <w:tcBorders>
              <w:top w:val="nil"/>
              <w:left w:val="single" w:sz="4" w:space="0" w:color="auto"/>
              <w:bottom w:val="single" w:sz="4" w:space="0" w:color="auto"/>
              <w:right w:val="single" w:sz="4" w:space="0" w:color="auto"/>
            </w:tcBorders>
            <w:shd w:val="clear" w:color="auto" w:fill="auto"/>
            <w:noWrap/>
            <w:vAlign w:val="bottom"/>
            <w:hideMark/>
          </w:tcPr>
          <w:p w14:paraId="6285EDEC" w14:textId="53335C70" w:rsidR="00260623" w:rsidRPr="008E2DEF" w:rsidRDefault="005001FB" w:rsidP="008E2DEF">
            <w:pPr>
              <w:jc w:val="both"/>
              <w:rPr>
                <w:rFonts w:ascii="Segoe UI" w:hAnsi="Segoe UI" w:cs="Segoe UI"/>
                <w:color w:val="172B4D"/>
                <w:sz w:val="21"/>
                <w:szCs w:val="21"/>
                <w:lang w:val="en-US"/>
              </w:rPr>
            </w:pPr>
            <w:r>
              <w:rPr>
                <w:rFonts w:ascii="Segoe UI" w:hAnsi="Segoe UI" w:cs="Segoe UI"/>
                <w:b/>
                <w:color w:val="172B4D"/>
                <w:sz w:val="21"/>
                <w:szCs w:val="21"/>
                <w:lang w:val="en-US"/>
              </w:rPr>
              <w:t>Q4</w:t>
            </w:r>
            <w:r w:rsidRPr="00F66278">
              <w:rPr>
                <w:rFonts w:ascii="Segoe UI" w:hAnsi="Segoe UI" w:cs="Segoe UI"/>
                <w:b/>
                <w:color w:val="172B4D"/>
                <w:sz w:val="21"/>
                <w:szCs w:val="21"/>
                <w:lang w:val="en-US"/>
              </w:rPr>
              <w:t>-</w:t>
            </w:r>
            <w:r>
              <w:rPr>
                <w:rFonts w:ascii="Segoe UI" w:hAnsi="Segoe UI" w:cs="Segoe UI"/>
                <w:b/>
                <w:color w:val="172B4D"/>
                <w:sz w:val="21"/>
                <w:szCs w:val="21"/>
                <w:lang w:val="en-US"/>
              </w:rPr>
              <w:t>20</w:t>
            </w:r>
            <w:r w:rsidRPr="00F66278">
              <w:rPr>
                <w:rFonts w:ascii="Segoe UI" w:hAnsi="Segoe UI" w:cs="Segoe UI"/>
                <w:b/>
                <w:color w:val="172B4D"/>
                <w:sz w:val="21"/>
                <w:szCs w:val="21"/>
                <w:lang w:val="en-US"/>
              </w:rPr>
              <w:t>19</w:t>
            </w:r>
          </w:p>
        </w:tc>
        <w:tc>
          <w:tcPr>
            <w:tcW w:w="1104" w:type="pct"/>
            <w:tcBorders>
              <w:top w:val="nil"/>
              <w:left w:val="nil"/>
              <w:bottom w:val="single" w:sz="4" w:space="0" w:color="auto"/>
              <w:right w:val="single" w:sz="4" w:space="0" w:color="auto"/>
            </w:tcBorders>
            <w:shd w:val="clear" w:color="auto" w:fill="auto"/>
            <w:noWrap/>
            <w:vAlign w:val="bottom"/>
            <w:hideMark/>
          </w:tcPr>
          <w:p w14:paraId="47056062" w14:textId="27945192"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11/</w:t>
            </w:r>
            <w:r w:rsidR="00577DAA">
              <w:rPr>
                <w:rFonts w:ascii="Segoe UI" w:hAnsi="Segoe UI" w:cs="Segoe UI"/>
                <w:color w:val="172B4D"/>
                <w:sz w:val="21"/>
                <w:szCs w:val="21"/>
                <w:lang w:val="en-US"/>
              </w:rPr>
              <w:t>20</w:t>
            </w:r>
            <w:r w:rsidRPr="008E2DEF">
              <w:rPr>
                <w:rFonts w:ascii="Segoe UI" w:hAnsi="Segoe UI" w:cs="Segoe UI"/>
                <w:color w:val="172B4D"/>
                <w:sz w:val="21"/>
                <w:szCs w:val="21"/>
                <w:lang w:val="en-US"/>
              </w:rPr>
              <w:t>19</w:t>
            </w:r>
          </w:p>
        </w:tc>
        <w:tc>
          <w:tcPr>
            <w:tcW w:w="1364" w:type="pct"/>
            <w:tcBorders>
              <w:top w:val="nil"/>
              <w:left w:val="nil"/>
              <w:bottom w:val="single" w:sz="4" w:space="0" w:color="auto"/>
              <w:right w:val="single" w:sz="4" w:space="0" w:color="auto"/>
            </w:tcBorders>
            <w:shd w:val="clear" w:color="auto" w:fill="auto"/>
            <w:noWrap/>
            <w:vAlign w:val="bottom"/>
            <w:hideMark/>
          </w:tcPr>
          <w:p w14:paraId="344F6DCA" w14:textId="77777777"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-0.1</w:t>
            </w:r>
          </w:p>
        </w:tc>
        <w:tc>
          <w:tcPr>
            <w:tcW w:w="1494" w:type="pct"/>
            <w:tcBorders>
              <w:top w:val="nil"/>
              <w:left w:val="nil"/>
              <w:bottom w:val="single" w:sz="4" w:space="0" w:color="auto"/>
              <w:right w:val="single" w:sz="4" w:space="0" w:color="auto"/>
            </w:tcBorders>
            <w:shd w:val="clear" w:color="auto" w:fill="auto"/>
            <w:noWrap/>
            <w:vAlign w:val="bottom"/>
            <w:hideMark/>
          </w:tcPr>
          <w:p w14:paraId="66339E38" w14:textId="77777777"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0</w:t>
            </w:r>
          </w:p>
        </w:tc>
      </w:tr>
      <w:tr w:rsidR="00260623" w:rsidRPr="005F4356" w14:paraId="790AE036" w14:textId="77777777" w:rsidTr="00EC2495">
        <w:trPr>
          <w:trHeight w:val="300"/>
        </w:trPr>
        <w:tc>
          <w:tcPr>
            <w:tcW w:w="1039" w:type="pct"/>
            <w:tcBorders>
              <w:top w:val="nil"/>
              <w:left w:val="single" w:sz="4" w:space="0" w:color="auto"/>
              <w:bottom w:val="single" w:sz="4" w:space="0" w:color="auto"/>
              <w:right w:val="single" w:sz="4" w:space="0" w:color="auto"/>
            </w:tcBorders>
            <w:shd w:val="clear" w:color="auto" w:fill="auto"/>
            <w:noWrap/>
            <w:vAlign w:val="bottom"/>
            <w:hideMark/>
          </w:tcPr>
          <w:p w14:paraId="5987BE91" w14:textId="7E27C8BF" w:rsidR="00260623" w:rsidRPr="008E2DEF" w:rsidRDefault="005001FB" w:rsidP="008E2DEF">
            <w:pPr>
              <w:jc w:val="both"/>
              <w:rPr>
                <w:rFonts w:ascii="Segoe UI" w:hAnsi="Segoe UI" w:cs="Segoe UI"/>
                <w:color w:val="172B4D"/>
                <w:sz w:val="21"/>
                <w:szCs w:val="21"/>
                <w:lang w:val="en-US"/>
              </w:rPr>
            </w:pPr>
            <w:r>
              <w:rPr>
                <w:rFonts w:ascii="Segoe UI" w:hAnsi="Segoe UI" w:cs="Segoe UI"/>
                <w:b/>
                <w:color w:val="172B4D"/>
                <w:sz w:val="21"/>
                <w:szCs w:val="21"/>
                <w:lang w:val="en-US"/>
              </w:rPr>
              <w:t>Q4</w:t>
            </w:r>
            <w:r w:rsidRPr="00F66278">
              <w:rPr>
                <w:rFonts w:ascii="Segoe UI" w:hAnsi="Segoe UI" w:cs="Segoe UI"/>
                <w:b/>
                <w:color w:val="172B4D"/>
                <w:sz w:val="21"/>
                <w:szCs w:val="21"/>
                <w:lang w:val="en-US"/>
              </w:rPr>
              <w:t>-</w:t>
            </w:r>
            <w:r>
              <w:rPr>
                <w:rFonts w:ascii="Segoe UI" w:hAnsi="Segoe UI" w:cs="Segoe UI"/>
                <w:b/>
                <w:color w:val="172B4D"/>
                <w:sz w:val="21"/>
                <w:szCs w:val="21"/>
                <w:lang w:val="en-US"/>
              </w:rPr>
              <w:t>20</w:t>
            </w:r>
            <w:r w:rsidRPr="00F66278">
              <w:rPr>
                <w:rFonts w:ascii="Segoe UI" w:hAnsi="Segoe UI" w:cs="Segoe UI"/>
                <w:b/>
                <w:color w:val="172B4D"/>
                <w:sz w:val="21"/>
                <w:szCs w:val="21"/>
                <w:lang w:val="en-US"/>
              </w:rPr>
              <w:t>19</w:t>
            </w:r>
          </w:p>
        </w:tc>
        <w:tc>
          <w:tcPr>
            <w:tcW w:w="1104" w:type="pct"/>
            <w:tcBorders>
              <w:top w:val="nil"/>
              <w:left w:val="nil"/>
              <w:bottom w:val="single" w:sz="4" w:space="0" w:color="auto"/>
              <w:right w:val="single" w:sz="4" w:space="0" w:color="auto"/>
            </w:tcBorders>
            <w:shd w:val="clear" w:color="auto" w:fill="auto"/>
            <w:noWrap/>
            <w:vAlign w:val="bottom"/>
            <w:hideMark/>
          </w:tcPr>
          <w:p w14:paraId="47A6A65A" w14:textId="5916F8D5"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12/</w:t>
            </w:r>
            <w:r w:rsidR="00577DAA">
              <w:rPr>
                <w:rFonts w:ascii="Segoe UI" w:hAnsi="Segoe UI" w:cs="Segoe UI"/>
                <w:color w:val="172B4D"/>
                <w:sz w:val="21"/>
                <w:szCs w:val="21"/>
                <w:lang w:val="en-US"/>
              </w:rPr>
              <w:t>20</w:t>
            </w:r>
            <w:r w:rsidRPr="008E2DEF">
              <w:rPr>
                <w:rFonts w:ascii="Segoe UI" w:hAnsi="Segoe UI" w:cs="Segoe UI"/>
                <w:color w:val="172B4D"/>
                <w:sz w:val="21"/>
                <w:szCs w:val="21"/>
                <w:lang w:val="en-US"/>
              </w:rPr>
              <w:t>19</w:t>
            </w:r>
          </w:p>
        </w:tc>
        <w:tc>
          <w:tcPr>
            <w:tcW w:w="1364" w:type="pct"/>
            <w:tcBorders>
              <w:top w:val="nil"/>
              <w:left w:val="nil"/>
              <w:bottom w:val="single" w:sz="4" w:space="0" w:color="auto"/>
              <w:right w:val="single" w:sz="4" w:space="0" w:color="auto"/>
            </w:tcBorders>
            <w:shd w:val="clear" w:color="auto" w:fill="auto"/>
            <w:noWrap/>
            <w:vAlign w:val="bottom"/>
            <w:hideMark/>
          </w:tcPr>
          <w:p w14:paraId="5F48B731" w14:textId="77777777"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0</w:t>
            </w:r>
          </w:p>
        </w:tc>
        <w:tc>
          <w:tcPr>
            <w:tcW w:w="1494" w:type="pct"/>
            <w:tcBorders>
              <w:top w:val="nil"/>
              <w:left w:val="nil"/>
              <w:bottom w:val="single" w:sz="4" w:space="0" w:color="auto"/>
              <w:right w:val="single" w:sz="4" w:space="0" w:color="auto"/>
            </w:tcBorders>
            <w:shd w:val="clear" w:color="auto" w:fill="auto"/>
            <w:noWrap/>
            <w:vAlign w:val="bottom"/>
            <w:hideMark/>
          </w:tcPr>
          <w:p w14:paraId="03A8AD3E" w14:textId="77777777" w:rsidR="00260623" w:rsidRPr="008E2DEF" w:rsidRDefault="00260623" w:rsidP="00577DAA">
            <w:pPr>
              <w:jc w:val="center"/>
              <w:rPr>
                <w:rFonts w:ascii="Segoe UI" w:hAnsi="Segoe UI" w:cs="Segoe UI"/>
                <w:color w:val="172B4D"/>
                <w:sz w:val="21"/>
                <w:szCs w:val="21"/>
                <w:lang w:val="en-US"/>
              </w:rPr>
            </w:pPr>
            <w:r w:rsidRPr="008E2DEF">
              <w:rPr>
                <w:rFonts w:ascii="Segoe UI" w:hAnsi="Segoe UI" w:cs="Segoe UI"/>
                <w:color w:val="172B4D"/>
                <w:sz w:val="21"/>
                <w:szCs w:val="21"/>
                <w:lang w:val="en-US"/>
              </w:rPr>
              <w:t>0</w:t>
            </w:r>
          </w:p>
        </w:tc>
      </w:tr>
    </w:tbl>
    <w:p w14:paraId="15ECB91F" w14:textId="77777777" w:rsidR="00D5680D" w:rsidRDefault="00D5680D" w:rsidP="00260623">
      <w:pPr>
        <w:rPr>
          <w:lang w:val="en-GB"/>
        </w:rPr>
      </w:pPr>
    </w:p>
    <w:p w14:paraId="07BC7653" w14:textId="77777777" w:rsidR="00D5680D" w:rsidRDefault="00D5680D" w:rsidP="00EC2495">
      <w:pPr>
        <w:jc w:val="both"/>
        <w:rPr>
          <w:rFonts w:ascii="Calibri Light" w:eastAsia="Yu Gothic Light" w:hAnsi="Calibri Light"/>
          <w:color w:val="1F4D78"/>
          <w:sz w:val="24"/>
          <w:szCs w:val="24"/>
          <w:lang w:val="en-GB"/>
        </w:rPr>
      </w:pPr>
    </w:p>
    <w:p w14:paraId="2106EE68" w14:textId="675EC865" w:rsidR="00EC2495" w:rsidRPr="00A60C0C" w:rsidRDefault="00EC2495" w:rsidP="00EC2495">
      <w:pPr>
        <w:jc w:val="both"/>
        <w:rPr>
          <w:rFonts w:ascii="Calibri Light" w:eastAsia="Yu Gothic Light" w:hAnsi="Calibri Light"/>
          <w:color w:val="1F4D78"/>
          <w:sz w:val="24"/>
          <w:szCs w:val="24"/>
          <w:lang w:val="en-GB"/>
        </w:rPr>
      </w:pPr>
      <w:r w:rsidRPr="00A60C0C">
        <w:rPr>
          <w:rFonts w:ascii="Calibri Light" w:eastAsia="Yu Gothic Light" w:hAnsi="Calibri Light"/>
          <w:color w:val="1F4D78"/>
          <w:sz w:val="24"/>
          <w:szCs w:val="24"/>
          <w:lang w:val="en-GB"/>
        </w:rPr>
        <w:t xml:space="preserve">The </w:t>
      </w:r>
      <w:r>
        <w:rPr>
          <w:rFonts w:ascii="Calibri Light" w:eastAsia="Yu Gothic Light" w:hAnsi="Calibri Light"/>
          <w:color w:val="1F4D78"/>
          <w:sz w:val="24"/>
          <w:szCs w:val="24"/>
          <w:lang w:val="en-GB"/>
        </w:rPr>
        <w:t>quarterly</w:t>
      </w:r>
      <w:r w:rsidRPr="00A60C0C">
        <w:rPr>
          <w:rFonts w:ascii="Calibri Light" w:eastAsia="Yu Gothic Light" w:hAnsi="Calibri Light"/>
          <w:color w:val="1F4D78"/>
          <w:sz w:val="24"/>
          <w:szCs w:val="24"/>
          <w:lang w:val="en-GB"/>
        </w:rPr>
        <w:t xml:space="preserve"> </w:t>
      </w:r>
      <w:r>
        <w:rPr>
          <w:rFonts w:ascii="Calibri Light" w:eastAsia="Yu Gothic Light" w:hAnsi="Calibri Light"/>
          <w:color w:val="1F4D78"/>
          <w:sz w:val="24"/>
          <w:szCs w:val="24"/>
          <w:lang w:val="en-GB"/>
        </w:rPr>
        <w:t>OJAs by professi</w:t>
      </w:r>
      <w:r w:rsidR="00272E41">
        <w:rPr>
          <w:rFonts w:ascii="Calibri Light" w:eastAsia="Yu Gothic Light" w:hAnsi="Calibri Light"/>
          <w:color w:val="1F4D78"/>
          <w:sz w:val="24"/>
          <w:szCs w:val="24"/>
          <w:lang w:val="en-GB"/>
        </w:rPr>
        <w:t xml:space="preserve">on </w:t>
      </w:r>
      <w:r>
        <w:rPr>
          <w:rFonts w:ascii="Calibri Light" w:eastAsia="Yu Gothic Light" w:hAnsi="Calibri Light"/>
          <w:color w:val="1F4D78"/>
          <w:sz w:val="24"/>
          <w:szCs w:val="24"/>
          <w:lang w:val="en-GB"/>
        </w:rPr>
        <w:t>and geographical area</w:t>
      </w:r>
    </w:p>
    <w:p w14:paraId="5257C06C" w14:textId="6E0A6B43" w:rsidR="004D5C07" w:rsidRDefault="00EC2495" w:rsidP="00EC2495">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 xml:space="preserve">A possible enrichment of OJAs could be the computation of the online job vacancies rate by professional figure (Isco level 1). It is essential to know the number of jobs </w:t>
      </w:r>
      <w:r w:rsidR="007B3A73">
        <w:rPr>
          <w:rFonts w:ascii="Segoe UI" w:hAnsi="Segoe UI" w:cs="Segoe UI"/>
          <w:color w:val="172B4D"/>
          <w:sz w:val="21"/>
          <w:szCs w:val="21"/>
          <w:lang w:val="en-US"/>
        </w:rPr>
        <w:t xml:space="preserve">positions broken down </w:t>
      </w:r>
      <w:r w:rsidRPr="00E931DB">
        <w:rPr>
          <w:rFonts w:ascii="Segoe UI" w:hAnsi="Segoe UI" w:cs="Segoe UI"/>
          <w:color w:val="172B4D"/>
          <w:sz w:val="21"/>
          <w:szCs w:val="21"/>
          <w:lang w:val="en-US"/>
        </w:rPr>
        <w:t xml:space="preserve">by professional figure, placed at the denominator of the rate computation. </w:t>
      </w:r>
      <w:r w:rsidR="007B3A73">
        <w:rPr>
          <w:rFonts w:ascii="Segoe UI" w:hAnsi="Segoe UI" w:cs="Segoe UI"/>
          <w:color w:val="172B4D"/>
          <w:sz w:val="21"/>
          <w:szCs w:val="21"/>
          <w:lang w:val="en-US"/>
        </w:rPr>
        <w:t>J</w:t>
      </w:r>
      <w:r w:rsidR="007B3A73" w:rsidRPr="00E931DB">
        <w:rPr>
          <w:rFonts w:ascii="Segoe UI" w:hAnsi="Segoe UI" w:cs="Segoe UI"/>
          <w:color w:val="172B4D"/>
          <w:sz w:val="21"/>
          <w:szCs w:val="21"/>
          <w:lang w:val="en-US"/>
        </w:rPr>
        <w:t xml:space="preserve">obs </w:t>
      </w:r>
      <w:r w:rsidR="007B3A73">
        <w:rPr>
          <w:rFonts w:ascii="Segoe UI" w:hAnsi="Segoe UI" w:cs="Segoe UI"/>
          <w:color w:val="172B4D"/>
          <w:sz w:val="21"/>
          <w:szCs w:val="21"/>
          <w:lang w:val="en-US"/>
        </w:rPr>
        <w:t xml:space="preserve">positions </w:t>
      </w:r>
      <w:r w:rsidR="007B3A73" w:rsidRPr="00E931DB">
        <w:rPr>
          <w:rFonts w:ascii="Segoe UI" w:hAnsi="Segoe UI" w:cs="Segoe UI"/>
          <w:color w:val="172B4D"/>
          <w:sz w:val="21"/>
          <w:szCs w:val="21"/>
          <w:lang w:val="en-US"/>
        </w:rPr>
        <w:t>by professional figure</w:t>
      </w:r>
      <w:r w:rsidR="007B3A73" w:rsidRPr="00E931DB" w:rsidDel="007B3A73">
        <w:rPr>
          <w:rFonts w:ascii="Segoe UI" w:hAnsi="Segoe UI" w:cs="Segoe UI"/>
          <w:color w:val="172B4D"/>
          <w:sz w:val="21"/>
          <w:szCs w:val="21"/>
          <w:lang w:val="en-US"/>
        </w:rPr>
        <w:t xml:space="preserve"> </w:t>
      </w:r>
      <w:r w:rsidR="007B3A73">
        <w:rPr>
          <w:rFonts w:ascii="Segoe UI" w:hAnsi="Segoe UI" w:cs="Segoe UI"/>
          <w:color w:val="172B4D"/>
          <w:sz w:val="21"/>
          <w:szCs w:val="21"/>
          <w:lang w:val="en-US"/>
        </w:rPr>
        <w:t>are</w:t>
      </w:r>
      <w:r w:rsidR="007B3A73" w:rsidRPr="00E931DB">
        <w:rPr>
          <w:rFonts w:ascii="Segoe UI" w:hAnsi="Segoe UI" w:cs="Segoe UI"/>
          <w:color w:val="172B4D"/>
          <w:sz w:val="21"/>
          <w:szCs w:val="21"/>
          <w:lang w:val="en-US"/>
        </w:rPr>
        <w:t xml:space="preserve"> </w:t>
      </w:r>
      <w:r w:rsidRPr="00E931DB">
        <w:rPr>
          <w:rFonts w:ascii="Segoe UI" w:hAnsi="Segoe UI" w:cs="Segoe UI"/>
          <w:color w:val="172B4D"/>
          <w:sz w:val="21"/>
          <w:szCs w:val="21"/>
          <w:lang w:val="en-US"/>
        </w:rPr>
        <w:t xml:space="preserve">not available in the </w:t>
      </w:r>
      <w:r w:rsidR="007B3A73">
        <w:rPr>
          <w:rFonts w:ascii="Segoe UI" w:hAnsi="Segoe UI" w:cs="Segoe UI"/>
          <w:color w:val="172B4D"/>
          <w:sz w:val="21"/>
          <w:szCs w:val="21"/>
          <w:lang w:val="en-US"/>
        </w:rPr>
        <w:t xml:space="preserve">Italian </w:t>
      </w:r>
      <w:r w:rsidRPr="00E931DB">
        <w:rPr>
          <w:rFonts w:ascii="Segoe UI" w:hAnsi="Segoe UI" w:cs="Segoe UI"/>
          <w:color w:val="172B4D"/>
          <w:sz w:val="21"/>
          <w:szCs w:val="21"/>
          <w:lang w:val="en-US"/>
        </w:rPr>
        <w:t>job vacancy survey</w:t>
      </w:r>
      <w:r w:rsidR="007B3A73">
        <w:rPr>
          <w:rFonts w:ascii="Segoe UI" w:hAnsi="Segoe UI" w:cs="Segoe UI"/>
          <w:color w:val="172B4D"/>
          <w:sz w:val="21"/>
          <w:szCs w:val="21"/>
          <w:lang w:val="en-US"/>
        </w:rPr>
        <w:t xml:space="preserve"> (VELA)</w:t>
      </w:r>
      <w:r w:rsidRPr="00E931DB">
        <w:rPr>
          <w:rFonts w:ascii="Segoe UI" w:hAnsi="Segoe UI" w:cs="Segoe UI"/>
          <w:color w:val="172B4D"/>
          <w:sz w:val="21"/>
          <w:szCs w:val="21"/>
          <w:lang w:val="en-US"/>
        </w:rPr>
        <w:t>, si</w:t>
      </w:r>
      <w:r w:rsidR="006F02FA">
        <w:rPr>
          <w:rFonts w:ascii="Segoe UI" w:hAnsi="Segoe UI" w:cs="Segoe UI"/>
          <w:color w:val="172B4D"/>
          <w:sz w:val="21"/>
          <w:szCs w:val="21"/>
          <w:lang w:val="en-US"/>
        </w:rPr>
        <w:t>n</w:t>
      </w:r>
      <w:r w:rsidRPr="00E931DB">
        <w:rPr>
          <w:rFonts w:ascii="Segoe UI" w:hAnsi="Segoe UI" w:cs="Segoe UI"/>
          <w:color w:val="172B4D"/>
          <w:sz w:val="21"/>
          <w:szCs w:val="21"/>
          <w:lang w:val="en-US"/>
        </w:rPr>
        <w:t xml:space="preserve">ce it is </w:t>
      </w:r>
      <w:r w:rsidR="007B3A73">
        <w:rPr>
          <w:rFonts w:ascii="Segoe UI" w:hAnsi="Segoe UI" w:cs="Segoe UI"/>
          <w:color w:val="172B4D"/>
          <w:sz w:val="21"/>
          <w:szCs w:val="21"/>
          <w:lang w:val="en-US"/>
        </w:rPr>
        <w:t xml:space="preserve">provides </w:t>
      </w:r>
      <w:r w:rsidR="007D42D9">
        <w:rPr>
          <w:rFonts w:ascii="Segoe UI" w:hAnsi="Segoe UI" w:cs="Segoe UI"/>
          <w:color w:val="172B4D"/>
          <w:sz w:val="21"/>
          <w:szCs w:val="21"/>
          <w:lang w:val="en-US"/>
        </w:rPr>
        <w:t xml:space="preserve">job positions </w:t>
      </w:r>
      <w:r w:rsidR="007B3A73">
        <w:rPr>
          <w:rFonts w:ascii="Segoe UI" w:hAnsi="Segoe UI" w:cs="Segoe UI"/>
          <w:color w:val="172B4D"/>
          <w:sz w:val="21"/>
          <w:szCs w:val="21"/>
          <w:lang w:val="en-US"/>
        </w:rPr>
        <w:t>by N</w:t>
      </w:r>
      <w:r w:rsidR="00E34142">
        <w:rPr>
          <w:rFonts w:ascii="Segoe UI" w:hAnsi="Segoe UI" w:cs="Segoe UI"/>
          <w:color w:val="172B4D"/>
          <w:sz w:val="21"/>
          <w:szCs w:val="21"/>
          <w:lang w:val="en-US"/>
        </w:rPr>
        <w:t>ACE</w:t>
      </w:r>
      <w:r w:rsidR="007B3A73">
        <w:rPr>
          <w:rFonts w:ascii="Segoe UI" w:hAnsi="Segoe UI" w:cs="Segoe UI"/>
          <w:color w:val="172B4D"/>
          <w:sz w:val="21"/>
          <w:szCs w:val="21"/>
          <w:lang w:val="en-US"/>
        </w:rPr>
        <w:t xml:space="preserve"> Rev 2. economic activity </w:t>
      </w:r>
      <w:r w:rsidR="00F214DC">
        <w:rPr>
          <w:rFonts w:ascii="Segoe UI" w:hAnsi="Segoe UI" w:cs="Segoe UI"/>
          <w:color w:val="172B4D"/>
          <w:sz w:val="21"/>
          <w:szCs w:val="21"/>
          <w:lang w:val="en-US"/>
        </w:rPr>
        <w:t>sections</w:t>
      </w:r>
      <w:r w:rsidRPr="00E931DB">
        <w:rPr>
          <w:rFonts w:ascii="Segoe UI" w:hAnsi="Segoe UI" w:cs="Segoe UI"/>
          <w:color w:val="172B4D"/>
          <w:sz w:val="21"/>
          <w:szCs w:val="21"/>
          <w:lang w:val="en-US"/>
        </w:rPr>
        <w:t xml:space="preserve">. </w:t>
      </w:r>
      <w:r w:rsidR="00E34142">
        <w:rPr>
          <w:rFonts w:ascii="Segoe UI" w:hAnsi="Segoe UI" w:cs="Segoe UI"/>
          <w:color w:val="172B4D"/>
          <w:sz w:val="21"/>
          <w:szCs w:val="21"/>
          <w:lang w:val="en-US"/>
        </w:rPr>
        <w:t>Therefore</w:t>
      </w:r>
      <w:r w:rsidRPr="00E931DB">
        <w:rPr>
          <w:rFonts w:ascii="Segoe UI" w:hAnsi="Segoe UI" w:cs="Segoe UI"/>
          <w:color w:val="172B4D"/>
          <w:sz w:val="21"/>
          <w:szCs w:val="21"/>
          <w:lang w:val="en-US"/>
        </w:rPr>
        <w:t>, job</w:t>
      </w:r>
      <w:r w:rsidR="00E34142">
        <w:rPr>
          <w:rFonts w:ascii="Segoe UI" w:hAnsi="Segoe UI" w:cs="Segoe UI"/>
          <w:color w:val="172B4D"/>
          <w:sz w:val="21"/>
          <w:szCs w:val="21"/>
          <w:lang w:val="en-US"/>
        </w:rPr>
        <w:t xml:space="preserve"> position</w:t>
      </w:r>
      <w:r w:rsidRPr="00E931DB">
        <w:rPr>
          <w:rFonts w:ascii="Segoe UI" w:hAnsi="Segoe UI" w:cs="Segoe UI"/>
          <w:color w:val="172B4D"/>
          <w:sz w:val="21"/>
          <w:szCs w:val="21"/>
          <w:lang w:val="en-US"/>
        </w:rPr>
        <w:t xml:space="preserve">s by profession </w:t>
      </w:r>
      <w:r w:rsidR="00E34142">
        <w:rPr>
          <w:rFonts w:ascii="Segoe UI" w:hAnsi="Segoe UI" w:cs="Segoe UI"/>
          <w:color w:val="172B4D"/>
          <w:sz w:val="21"/>
          <w:szCs w:val="21"/>
          <w:lang w:val="en-US"/>
        </w:rPr>
        <w:t>have been derived from other Istat sources</w:t>
      </w:r>
      <w:r w:rsidR="00F214DC">
        <w:rPr>
          <w:rFonts w:ascii="Segoe UI" w:hAnsi="Segoe UI" w:cs="Segoe UI"/>
          <w:color w:val="172B4D"/>
          <w:sz w:val="21"/>
          <w:szCs w:val="21"/>
          <w:lang w:val="en-US"/>
        </w:rPr>
        <w:t>,</w:t>
      </w:r>
      <w:r w:rsidR="00E34142">
        <w:rPr>
          <w:rFonts w:ascii="Segoe UI" w:hAnsi="Segoe UI" w:cs="Segoe UI"/>
          <w:color w:val="172B4D"/>
          <w:sz w:val="21"/>
          <w:szCs w:val="21"/>
          <w:lang w:val="en-US"/>
        </w:rPr>
        <w:t xml:space="preserve"> and </w:t>
      </w:r>
      <w:r w:rsidRPr="00E931DB">
        <w:rPr>
          <w:rFonts w:ascii="Segoe UI" w:hAnsi="Segoe UI" w:cs="Segoe UI"/>
          <w:color w:val="172B4D"/>
          <w:sz w:val="21"/>
          <w:szCs w:val="21"/>
          <w:lang w:val="en-US"/>
        </w:rPr>
        <w:t xml:space="preserve">extracted from the I.stat database for the quarters of interest. </w:t>
      </w:r>
      <w:r w:rsidR="002B6DAC">
        <w:rPr>
          <w:rFonts w:ascii="Segoe UI" w:hAnsi="Segoe UI" w:cs="Segoe UI"/>
          <w:color w:val="172B4D"/>
          <w:sz w:val="21"/>
          <w:szCs w:val="21"/>
          <w:lang w:val="en-US"/>
        </w:rPr>
        <w:t xml:space="preserve">They differs </w:t>
      </w:r>
      <w:r w:rsidRPr="00E931DB">
        <w:rPr>
          <w:rFonts w:ascii="Segoe UI" w:hAnsi="Segoe UI" w:cs="Segoe UI"/>
          <w:color w:val="172B4D"/>
          <w:sz w:val="21"/>
          <w:szCs w:val="21"/>
          <w:lang w:val="en-US"/>
        </w:rPr>
        <w:t xml:space="preserve">from </w:t>
      </w:r>
      <w:r w:rsidR="002B6DAC">
        <w:rPr>
          <w:rFonts w:ascii="Segoe UI" w:hAnsi="Segoe UI" w:cs="Segoe UI"/>
          <w:color w:val="172B4D"/>
          <w:sz w:val="21"/>
          <w:szCs w:val="21"/>
          <w:lang w:val="en-US"/>
        </w:rPr>
        <w:t xml:space="preserve">job positions </w:t>
      </w:r>
      <w:r w:rsidRPr="00E931DB">
        <w:rPr>
          <w:rFonts w:ascii="Segoe UI" w:hAnsi="Segoe UI" w:cs="Segoe UI"/>
          <w:color w:val="172B4D"/>
          <w:sz w:val="21"/>
          <w:szCs w:val="21"/>
          <w:lang w:val="en-US"/>
        </w:rPr>
        <w:t xml:space="preserve">used for the computation of the </w:t>
      </w:r>
      <w:r w:rsidR="002B6DAC">
        <w:rPr>
          <w:rFonts w:ascii="Segoe UI" w:hAnsi="Segoe UI" w:cs="Segoe UI"/>
          <w:color w:val="172B4D"/>
          <w:sz w:val="21"/>
          <w:szCs w:val="21"/>
          <w:lang w:val="en-US"/>
        </w:rPr>
        <w:t>official</w:t>
      </w:r>
      <w:r w:rsidR="002B6DAC" w:rsidRPr="00E931DB">
        <w:rPr>
          <w:rFonts w:ascii="Segoe UI" w:hAnsi="Segoe UI" w:cs="Segoe UI"/>
          <w:color w:val="172B4D"/>
          <w:sz w:val="21"/>
          <w:szCs w:val="21"/>
          <w:lang w:val="en-US"/>
        </w:rPr>
        <w:t xml:space="preserve"> </w:t>
      </w:r>
      <w:r w:rsidRPr="00E931DB">
        <w:rPr>
          <w:rFonts w:ascii="Segoe UI" w:hAnsi="Segoe UI" w:cs="Segoe UI"/>
          <w:color w:val="172B4D"/>
          <w:sz w:val="21"/>
          <w:szCs w:val="21"/>
          <w:lang w:val="en-US"/>
        </w:rPr>
        <w:t xml:space="preserve">job vacancy rate and for the </w:t>
      </w:r>
      <w:r w:rsidR="002B6DAC">
        <w:rPr>
          <w:rFonts w:ascii="Segoe UI" w:hAnsi="Segoe UI" w:cs="Segoe UI"/>
          <w:color w:val="172B4D"/>
          <w:sz w:val="21"/>
          <w:szCs w:val="21"/>
          <w:lang w:val="en-US"/>
        </w:rPr>
        <w:t xml:space="preserve">exercise of computing an </w:t>
      </w:r>
      <w:r w:rsidRPr="00E931DB">
        <w:rPr>
          <w:rFonts w:ascii="Segoe UI" w:hAnsi="Segoe UI" w:cs="Segoe UI"/>
          <w:color w:val="172B4D"/>
          <w:sz w:val="21"/>
          <w:szCs w:val="21"/>
          <w:lang w:val="en-US"/>
        </w:rPr>
        <w:t>OJA rate</w:t>
      </w:r>
      <w:r w:rsidR="003C565B">
        <w:rPr>
          <w:rFonts w:ascii="Segoe UI" w:hAnsi="Segoe UI" w:cs="Segoe UI"/>
          <w:color w:val="172B4D"/>
          <w:sz w:val="21"/>
          <w:szCs w:val="21"/>
          <w:lang w:val="en-US"/>
        </w:rPr>
        <w:t xml:space="preserve"> showed in this annex </w:t>
      </w:r>
      <w:r w:rsidR="002B6DAC">
        <w:rPr>
          <w:rFonts w:ascii="Segoe UI" w:hAnsi="Segoe UI" w:cs="Segoe UI"/>
          <w:color w:val="172B4D"/>
          <w:sz w:val="21"/>
          <w:szCs w:val="21"/>
          <w:lang w:val="en-US"/>
        </w:rPr>
        <w:t xml:space="preserve">Job positions by profession available from the other sources </w:t>
      </w:r>
      <w:r w:rsidRPr="00E931DB">
        <w:rPr>
          <w:rFonts w:ascii="Segoe UI" w:hAnsi="Segoe UI" w:cs="Segoe UI"/>
          <w:color w:val="172B4D"/>
          <w:sz w:val="21"/>
          <w:szCs w:val="21"/>
          <w:lang w:val="en-US"/>
        </w:rPr>
        <w:t>also includes jobs in the sectors not observed in the vacancy survey</w:t>
      </w:r>
      <w:r w:rsidR="002B6DAC">
        <w:rPr>
          <w:rFonts w:ascii="Segoe UI" w:hAnsi="Segoe UI" w:cs="Segoe UI"/>
          <w:color w:val="172B4D"/>
          <w:sz w:val="21"/>
          <w:szCs w:val="21"/>
          <w:lang w:val="en-US"/>
        </w:rPr>
        <w:t xml:space="preserve"> (that covers </w:t>
      </w:r>
      <w:r w:rsidR="002B6DAC" w:rsidRPr="00E931DB">
        <w:rPr>
          <w:rFonts w:ascii="Segoe UI" w:hAnsi="Segoe UI" w:cs="Segoe UI"/>
          <w:color w:val="172B4D"/>
          <w:sz w:val="21"/>
          <w:szCs w:val="21"/>
          <w:lang w:val="en-US"/>
        </w:rPr>
        <w:t>section</w:t>
      </w:r>
      <w:r w:rsidR="002B6DAC">
        <w:rPr>
          <w:rFonts w:ascii="Segoe UI" w:hAnsi="Segoe UI" w:cs="Segoe UI"/>
          <w:color w:val="172B4D"/>
          <w:sz w:val="21"/>
          <w:szCs w:val="21"/>
          <w:lang w:val="en-US"/>
        </w:rPr>
        <w:t>s</w:t>
      </w:r>
      <w:r w:rsidR="002B6DAC" w:rsidRPr="00E931DB">
        <w:rPr>
          <w:rFonts w:ascii="Segoe UI" w:hAnsi="Segoe UI" w:cs="Segoe UI"/>
          <w:color w:val="172B4D"/>
          <w:sz w:val="21"/>
          <w:szCs w:val="21"/>
          <w:lang w:val="en-US"/>
        </w:rPr>
        <w:t xml:space="preserve"> B-S, excluding O)</w:t>
      </w:r>
      <w:r w:rsidRPr="00E931DB">
        <w:rPr>
          <w:rFonts w:ascii="Segoe UI" w:hAnsi="Segoe UI" w:cs="Segoe UI"/>
          <w:color w:val="172B4D"/>
          <w:sz w:val="21"/>
          <w:szCs w:val="21"/>
          <w:lang w:val="en-US"/>
        </w:rPr>
        <w:t xml:space="preserve"> and self-employed workers. For this reason, job</w:t>
      </w:r>
      <w:r w:rsidR="003C565B">
        <w:rPr>
          <w:rFonts w:ascii="Segoe UI" w:hAnsi="Segoe UI" w:cs="Segoe UI"/>
          <w:color w:val="172B4D"/>
          <w:sz w:val="21"/>
          <w:szCs w:val="21"/>
          <w:lang w:val="en-US"/>
        </w:rPr>
        <w:t xml:space="preserve"> position</w:t>
      </w:r>
      <w:r w:rsidRPr="00E931DB">
        <w:rPr>
          <w:rFonts w:ascii="Segoe UI" w:hAnsi="Segoe UI" w:cs="Segoe UI"/>
          <w:color w:val="172B4D"/>
          <w:sz w:val="21"/>
          <w:szCs w:val="21"/>
          <w:lang w:val="en-US"/>
        </w:rPr>
        <w:t xml:space="preserve">s by professional figure </w:t>
      </w:r>
      <w:r w:rsidR="00766592">
        <w:rPr>
          <w:rFonts w:ascii="Segoe UI" w:hAnsi="Segoe UI" w:cs="Segoe UI"/>
          <w:color w:val="172B4D"/>
          <w:sz w:val="21"/>
          <w:szCs w:val="21"/>
          <w:lang w:val="en-US"/>
        </w:rPr>
        <w:t xml:space="preserve">have been </w:t>
      </w:r>
      <w:r w:rsidRPr="00E931DB">
        <w:rPr>
          <w:rFonts w:ascii="Segoe UI" w:hAnsi="Segoe UI" w:cs="Segoe UI"/>
          <w:color w:val="172B4D"/>
          <w:sz w:val="21"/>
          <w:szCs w:val="21"/>
          <w:lang w:val="en-US"/>
        </w:rPr>
        <w:t>recalculated by redistributing the number of job</w:t>
      </w:r>
      <w:r w:rsidR="00766592">
        <w:rPr>
          <w:rFonts w:ascii="Segoe UI" w:hAnsi="Segoe UI" w:cs="Segoe UI"/>
          <w:color w:val="172B4D"/>
          <w:sz w:val="21"/>
          <w:szCs w:val="21"/>
          <w:lang w:val="en-US"/>
        </w:rPr>
        <w:t>- positions</w:t>
      </w:r>
      <w:r w:rsidRPr="00E931DB">
        <w:rPr>
          <w:rFonts w:ascii="Segoe UI" w:hAnsi="Segoe UI" w:cs="Segoe UI"/>
          <w:color w:val="172B4D"/>
          <w:sz w:val="21"/>
          <w:szCs w:val="21"/>
          <w:lang w:val="en-US"/>
        </w:rPr>
        <w:t xml:space="preserve"> used for the computation of the </w:t>
      </w:r>
      <w:r w:rsidR="00766592">
        <w:rPr>
          <w:rFonts w:ascii="Segoe UI" w:hAnsi="Segoe UI" w:cs="Segoe UI"/>
          <w:color w:val="172B4D"/>
          <w:sz w:val="21"/>
          <w:szCs w:val="21"/>
          <w:lang w:val="en-US"/>
        </w:rPr>
        <w:t>official</w:t>
      </w:r>
      <w:r w:rsidR="00766592" w:rsidRPr="00E931DB">
        <w:rPr>
          <w:rFonts w:ascii="Segoe UI" w:hAnsi="Segoe UI" w:cs="Segoe UI"/>
          <w:color w:val="172B4D"/>
          <w:sz w:val="21"/>
          <w:szCs w:val="21"/>
          <w:lang w:val="en-US"/>
        </w:rPr>
        <w:t xml:space="preserve"> </w:t>
      </w:r>
      <w:r w:rsidRPr="00E931DB">
        <w:rPr>
          <w:rFonts w:ascii="Segoe UI" w:hAnsi="Segoe UI" w:cs="Segoe UI"/>
          <w:color w:val="172B4D"/>
          <w:sz w:val="21"/>
          <w:szCs w:val="21"/>
          <w:lang w:val="en-US"/>
        </w:rPr>
        <w:t>vacancy rate</w:t>
      </w:r>
      <w:r w:rsidR="007D42D9">
        <w:rPr>
          <w:rFonts w:ascii="Segoe UI" w:hAnsi="Segoe UI" w:cs="Segoe UI"/>
          <w:color w:val="172B4D"/>
          <w:sz w:val="21"/>
          <w:szCs w:val="21"/>
          <w:lang w:val="en-US"/>
        </w:rPr>
        <w:t xml:space="preserve"> derived from the VELA survey</w:t>
      </w:r>
      <w:r w:rsidRPr="00E931DB">
        <w:rPr>
          <w:rFonts w:ascii="Segoe UI" w:hAnsi="Segoe UI" w:cs="Segoe UI"/>
          <w:color w:val="172B4D"/>
          <w:sz w:val="21"/>
          <w:szCs w:val="21"/>
          <w:lang w:val="en-US"/>
        </w:rPr>
        <w:t>, according to the percentage distribution of job</w:t>
      </w:r>
      <w:r w:rsidR="000F7068">
        <w:rPr>
          <w:rFonts w:ascii="Segoe UI" w:hAnsi="Segoe UI" w:cs="Segoe UI"/>
          <w:color w:val="172B4D"/>
          <w:sz w:val="21"/>
          <w:szCs w:val="21"/>
          <w:lang w:val="en-US"/>
        </w:rPr>
        <w:t xml:space="preserve"> </w:t>
      </w:r>
      <w:r w:rsidR="003C565B">
        <w:rPr>
          <w:rFonts w:ascii="Segoe UI" w:hAnsi="Segoe UI" w:cs="Segoe UI"/>
          <w:color w:val="172B4D"/>
          <w:sz w:val="21"/>
          <w:szCs w:val="21"/>
          <w:lang w:val="en-US"/>
        </w:rPr>
        <w:t>positions</w:t>
      </w:r>
      <w:r w:rsidRPr="00E931DB">
        <w:rPr>
          <w:rFonts w:ascii="Segoe UI" w:hAnsi="Segoe UI" w:cs="Segoe UI"/>
          <w:color w:val="172B4D"/>
          <w:sz w:val="21"/>
          <w:szCs w:val="21"/>
          <w:lang w:val="en-US"/>
        </w:rPr>
        <w:t xml:space="preserve"> by professional figure (derived from </w:t>
      </w:r>
      <w:r w:rsidR="007D42D9">
        <w:rPr>
          <w:rFonts w:ascii="Segoe UI" w:hAnsi="Segoe UI" w:cs="Segoe UI"/>
          <w:color w:val="172B4D"/>
          <w:sz w:val="21"/>
          <w:szCs w:val="21"/>
          <w:lang w:val="en-US"/>
        </w:rPr>
        <w:t>other sources</w:t>
      </w:r>
      <w:r w:rsidRPr="00E931DB">
        <w:rPr>
          <w:rFonts w:ascii="Segoe UI" w:hAnsi="Segoe UI" w:cs="Segoe UI"/>
          <w:color w:val="172B4D"/>
          <w:sz w:val="21"/>
          <w:szCs w:val="21"/>
          <w:lang w:val="en-US"/>
        </w:rPr>
        <w:t xml:space="preserve">, Table 2). </w:t>
      </w:r>
    </w:p>
    <w:p w14:paraId="13FDE967" w14:textId="77777777" w:rsidR="004D5C07" w:rsidRDefault="004D5C07" w:rsidP="00EC2495">
      <w:pPr>
        <w:jc w:val="both"/>
        <w:rPr>
          <w:rFonts w:ascii="Segoe UI" w:hAnsi="Segoe UI" w:cs="Segoe UI"/>
          <w:color w:val="172B4D"/>
          <w:sz w:val="21"/>
          <w:szCs w:val="21"/>
          <w:lang w:val="en-US"/>
        </w:rPr>
      </w:pPr>
    </w:p>
    <w:p w14:paraId="3C4D41E5" w14:textId="77777777" w:rsidR="00AC3620" w:rsidRDefault="00AC3620" w:rsidP="00EC2495">
      <w:pPr>
        <w:jc w:val="both"/>
        <w:rPr>
          <w:rFonts w:ascii="Segoe UI" w:hAnsi="Segoe UI" w:cs="Segoe UI"/>
          <w:color w:val="172B4D"/>
          <w:sz w:val="21"/>
          <w:szCs w:val="21"/>
          <w:lang w:val="en-US"/>
        </w:rPr>
      </w:pPr>
    </w:p>
    <w:p w14:paraId="21F4CB79" w14:textId="1796DC57" w:rsidR="00EC2495" w:rsidRPr="00E931DB" w:rsidRDefault="00EC2495" w:rsidP="00EC2495">
      <w:pPr>
        <w:jc w:val="both"/>
        <w:rPr>
          <w:rFonts w:ascii="Segoe UI" w:hAnsi="Segoe UI" w:cs="Segoe UI"/>
          <w:color w:val="172B4D"/>
          <w:sz w:val="21"/>
          <w:szCs w:val="21"/>
          <w:lang w:val="en-US"/>
        </w:rPr>
      </w:pPr>
    </w:p>
    <w:p w14:paraId="6345DDDF" w14:textId="77777777" w:rsidR="00EC2495" w:rsidRPr="00D813A3" w:rsidRDefault="00EC2495" w:rsidP="00EC2495">
      <w:pPr>
        <w:rPr>
          <w:i/>
          <w:iCs/>
          <w:color w:val="44546A" w:themeColor="text2"/>
          <w:sz w:val="18"/>
          <w:szCs w:val="18"/>
          <w:lang w:val="en-GB"/>
        </w:rPr>
      </w:pPr>
      <w:r>
        <w:rPr>
          <w:i/>
          <w:iCs/>
          <w:color w:val="44546A" w:themeColor="text2"/>
          <w:sz w:val="18"/>
          <w:szCs w:val="18"/>
          <w:lang w:val="en-GB"/>
        </w:rPr>
        <w:lastRenderedPageBreak/>
        <w:t>Table 2: P</w:t>
      </w:r>
      <w:r w:rsidRPr="00D813A3">
        <w:rPr>
          <w:i/>
          <w:iCs/>
          <w:color w:val="44546A" w:themeColor="text2"/>
          <w:sz w:val="18"/>
          <w:szCs w:val="18"/>
          <w:lang w:val="en-GB"/>
        </w:rPr>
        <w:t xml:space="preserve">ercentage distribution of employees </w:t>
      </w:r>
      <w:r>
        <w:rPr>
          <w:i/>
          <w:iCs/>
          <w:color w:val="44546A" w:themeColor="text2"/>
          <w:sz w:val="18"/>
          <w:szCs w:val="18"/>
          <w:lang w:val="en-GB"/>
        </w:rPr>
        <w:t>by Isco level 1 and</w:t>
      </w:r>
      <w:r w:rsidRPr="00D813A3">
        <w:rPr>
          <w:i/>
          <w:iCs/>
          <w:color w:val="44546A" w:themeColor="text2"/>
          <w:sz w:val="18"/>
          <w:szCs w:val="18"/>
          <w:lang w:val="en-GB"/>
        </w:rPr>
        <w:t xml:space="preserve"> quarter</w:t>
      </w:r>
    </w:p>
    <w:tbl>
      <w:tblPr>
        <w:tblW w:w="5000" w:type="pct"/>
        <w:tblCellMar>
          <w:left w:w="70" w:type="dxa"/>
          <w:right w:w="70" w:type="dxa"/>
        </w:tblCellMar>
        <w:tblLook w:val="04A0" w:firstRow="1" w:lastRow="0" w:firstColumn="1" w:lastColumn="0" w:noHBand="0" w:noVBand="1"/>
      </w:tblPr>
      <w:tblGrid>
        <w:gridCol w:w="2663"/>
        <w:gridCol w:w="1059"/>
        <w:gridCol w:w="1059"/>
        <w:gridCol w:w="1059"/>
        <w:gridCol w:w="1059"/>
        <w:gridCol w:w="1059"/>
        <w:gridCol w:w="1058"/>
      </w:tblGrid>
      <w:tr w:rsidR="00EC2495" w:rsidRPr="00F66278" w14:paraId="4E730EE8" w14:textId="77777777" w:rsidTr="00577DAA">
        <w:trPr>
          <w:trHeight w:val="375"/>
        </w:trPr>
        <w:tc>
          <w:tcPr>
            <w:tcW w:w="147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A5D98F2" w14:textId="77777777" w:rsidR="00EC2495" w:rsidRPr="00F66278" w:rsidRDefault="00EC2495" w:rsidP="00F66278">
            <w:pPr>
              <w:jc w:val="both"/>
              <w:rPr>
                <w:rFonts w:ascii="Segoe UI" w:hAnsi="Segoe UI" w:cs="Segoe UI"/>
                <w:b/>
                <w:color w:val="172B4D"/>
                <w:sz w:val="21"/>
                <w:szCs w:val="21"/>
                <w:lang w:val="en-US"/>
              </w:rPr>
            </w:pPr>
            <w:r w:rsidRPr="00F66278">
              <w:rPr>
                <w:rFonts w:ascii="Segoe UI" w:hAnsi="Segoe UI" w:cs="Segoe UI"/>
                <w:b/>
                <w:color w:val="172B4D"/>
                <w:sz w:val="21"/>
                <w:szCs w:val="21"/>
                <w:lang w:val="en-US"/>
              </w:rPr>
              <w:t>Isco level 1</w:t>
            </w:r>
          </w:p>
        </w:tc>
        <w:tc>
          <w:tcPr>
            <w:tcW w:w="587"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3C122BA" w14:textId="4DD01F63" w:rsidR="00EC2495" w:rsidRPr="00F66278" w:rsidRDefault="00AE0C8C" w:rsidP="00AC3620">
            <w:pPr>
              <w:jc w:val="center"/>
              <w:rPr>
                <w:rFonts w:ascii="Segoe UI" w:hAnsi="Segoe UI" w:cs="Segoe UI"/>
                <w:b/>
                <w:color w:val="172B4D"/>
                <w:sz w:val="21"/>
                <w:szCs w:val="21"/>
                <w:lang w:val="en-US"/>
              </w:rPr>
            </w:pPr>
            <w:r>
              <w:rPr>
                <w:rFonts w:ascii="Segoe UI" w:hAnsi="Segoe UI" w:cs="Segoe UI"/>
                <w:b/>
                <w:color w:val="172B4D"/>
                <w:sz w:val="21"/>
                <w:szCs w:val="21"/>
                <w:lang w:val="en-US"/>
              </w:rPr>
              <w:t>Q</w:t>
            </w:r>
            <w:r w:rsidR="00EC2495" w:rsidRPr="00F66278">
              <w:rPr>
                <w:rFonts w:ascii="Segoe UI" w:hAnsi="Segoe UI" w:cs="Segoe UI"/>
                <w:b/>
                <w:color w:val="172B4D"/>
                <w:sz w:val="21"/>
                <w:szCs w:val="21"/>
                <w:lang w:val="en-US"/>
              </w:rPr>
              <w:t>3-</w:t>
            </w:r>
            <w:r>
              <w:rPr>
                <w:rFonts w:ascii="Segoe UI" w:hAnsi="Segoe UI" w:cs="Segoe UI"/>
                <w:b/>
                <w:color w:val="172B4D"/>
                <w:sz w:val="21"/>
                <w:szCs w:val="21"/>
                <w:lang w:val="en-US"/>
              </w:rPr>
              <w:t>20</w:t>
            </w:r>
            <w:r w:rsidR="00EC2495" w:rsidRPr="00F66278">
              <w:rPr>
                <w:rFonts w:ascii="Segoe UI" w:hAnsi="Segoe UI" w:cs="Segoe UI"/>
                <w:b/>
                <w:color w:val="172B4D"/>
                <w:sz w:val="21"/>
                <w:szCs w:val="21"/>
                <w:lang w:val="en-US"/>
              </w:rPr>
              <w:t>18</w:t>
            </w:r>
          </w:p>
        </w:tc>
        <w:tc>
          <w:tcPr>
            <w:tcW w:w="587"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35E16DB" w14:textId="05CC79EA" w:rsidR="00EC2495" w:rsidRPr="00F66278" w:rsidRDefault="00C62047" w:rsidP="00AC3620">
            <w:pPr>
              <w:jc w:val="center"/>
              <w:rPr>
                <w:rFonts w:ascii="Segoe UI" w:hAnsi="Segoe UI" w:cs="Segoe UI"/>
                <w:b/>
                <w:color w:val="172B4D"/>
                <w:sz w:val="21"/>
                <w:szCs w:val="21"/>
                <w:lang w:val="en-US"/>
              </w:rPr>
            </w:pPr>
            <w:r>
              <w:rPr>
                <w:rFonts w:ascii="Segoe UI" w:hAnsi="Segoe UI" w:cs="Segoe UI"/>
                <w:b/>
                <w:color w:val="172B4D"/>
                <w:sz w:val="21"/>
                <w:szCs w:val="21"/>
                <w:lang w:val="en-US"/>
              </w:rPr>
              <w:t>Q</w:t>
            </w:r>
            <w:r w:rsidR="00EC2495" w:rsidRPr="00F66278">
              <w:rPr>
                <w:rFonts w:ascii="Segoe UI" w:hAnsi="Segoe UI" w:cs="Segoe UI"/>
                <w:b/>
                <w:color w:val="172B4D"/>
                <w:sz w:val="21"/>
                <w:szCs w:val="21"/>
                <w:lang w:val="en-US"/>
              </w:rPr>
              <w:t>4-</w:t>
            </w:r>
            <w:r w:rsidR="00AE0C8C">
              <w:rPr>
                <w:rFonts w:ascii="Segoe UI" w:hAnsi="Segoe UI" w:cs="Segoe UI"/>
                <w:b/>
                <w:color w:val="172B4D"/>
                <w:sz w:val="21"/>
                <w:szCs w:val="21"/>
                <w:lang w:val="en-US"/>
              </w:rPr>
              <w:t>20</w:t>
            </w:r>
            <w:r w:rsidR="00EC2495" w:rsidRPr="00F66278">
              <w:rPr>
                <w:rFonts w:ascii="Segoe UI" w:hAnsi="Segoe UI" w:cs="Segoe UI"/>
                <w:b/>
                <w:color w:val="172B4D"/>
                <w:sz w:val="21"/>
                <w:szCs w:val="21"/>
                <w:lang w:val="en-US"/>
              </w:rPr>
              <w:t>18</w:t>
            </w:r>
          </w:p>
        </w:tc>
        <w:tc>
          <w:tcPr>
            <w:tcW w:w="587"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B9FAEDE" w14:textId="731204D6" w:rsidR="00EC2495" w:rsidRPr="00F66278" w:rsidRDefault="00C62047" w:rsidP="00AC3620">
            <w:pPr>
              <w:jc w:val="center"/>
              <w:rPr>
                <w:rFonts w:ascii="Segoe UI" w:hAnsi="Segoe UI" w:cs="Segoe UI"/>
                <w:b/>
                <w:color w:val="172B4D"/>
                <w:sz w:val="21"/>
                <w:szCs w:val="21"/>
                <w:lang w:val="en-US"/>
              </w:rPr>
            </w:pPr>
            <w:r>
              <w:rPr>
                <w:rFonts w:ascii="Segoe UI" w:hAnsi="Segoe UI" w:cs="Segoe UI"/>
                <w:b/>
                <w:color w:val="172B4D"/>
                <w:sz w:val="21"/>
                <w:szCs w:val="21"/>
                <w:lang w:val="en-US"/>
              </w:rPr>
              <w:t>Q</w:t>
            </w:r>
            <w:r w:rsidR="00EC2495" w:rsidRPr="00F66278">
              <w:rPr>
                <w:rFonts w:ascii="Segoe UI" w:hAnsi="Segoe UI" w:cs="Segoe UI"/>
                <w:b/>
                <w:color w:val="172B4D"/>
                <w:sz w:val="21"/>
                <w:szCs w:val="21"/>
                <w:lang w:val="en-US"/>
              </w:rPr>
              <w:t>1-</w:t>
            </w:r>
            <w:r w:rsidR="00AE0C8C">
              <w:rPr>
                <w:rFonts w:ascii="Segoe UI" w:hAnsi="Segoe UI" w:cs="Segoe UI"/>
                <w:b/>
                <w:color w:val="172B4D"/>
                <w:sz w:val="21"/>
                <w:szCs w:val="21"/>
                <w:lang w:val="en-US"/>
              </w:rPr>
              <w:t>20</w:t>
            </w:r>
            <w:r w:rsidR="00EC2495" w:rsidRPr="00F66278">
              <w:rPr>
                <w:rFonts w:ascii="Segoe UI" w:hAnsi="Segoe UI" w:cs="Segoe UI"/>
                <w:b/>
                <w:color w:val="172B4D"/>
                <w:sz w:val="21"/>
                <w:szCs w:val="21"/>
                <w:lang w:val="en-US"/>
              </w:rPr>
              <w:t>19</w:t>
            </w:r>
          </w:p>
        </w:tc>
        <w:tc>
          <w:tcPr>
            <w:tcW w:w="587"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804564A" w14:textId="16A7C832" w:rsidR="00EC2495" w:rsidRPr="00F66278" w:rsidRDefault="00C62047" w:rsidP="00AC3620">
            <w:pPr>
              <w:jc w:val="center"/>
              <w:rPr>
                <w:rFonts w:ascii="Segoe UI" w:hAnsi="Segoe UI" w:cs="Segoe UI"/>
                <w:b/>
                <w:color w:val="172B4D"/>
                <w:sz w:val="21"/>
                <w:szCs w:val="21"/>
                <w:lang w:val="en-US"/>
              </w:rPr>
            </w:pPr>
            <w:r>
              <w:rPr>
                <w:rFonts w:ascii="Segoe UI" w:hAnsi="Segoe UI" w:cs="Segoe UI"/>
                <w:b/>
                <w:color w:val="172B4D"/>
                <w:sz w:val="21"/>
                <w:szCs w:val="21"/>
                <w:lang w:val="en-US"/>
              </w:rPr>
              <w:t>Q</w:t>
            </w:r>
            <w:r w:rsidR="00EC2495" w:rsidRPr="00F66278">
              <w:rPr>
                <w:rFonts w:ascii="Segoe UI" w:hAnsi="Segoe UI" w:cs="Segoe UI"/>
                <w:b/>
                <w:color w:val="172B4D"/>
                <w:sz w:val="21"/>
                <w:szCs w:val="21"/>
                <w:lang w:val="en-US"/>
              </w:rPr>
              <w:t>2-</w:t>
            </w:r>
            <w:r w:rsidR="00AE0C8C">
              <w:rPr>
                <w:rFonts w:ascii="Segoe UI" w:hAnsi="Segoe UI" w:cs="Segoe UI"/>
                <w:b/>
                <w:color w:val="172B4D"/>
                <w:sz w:val="21"/>
                <w:szCs w:val="21"/>
                <w:lang w:val="en-US"/>
              </w:rPr>
              <w:t>20</w:t>
            </w:r>
            <w:r w:rsidR="00EC2495" w:rsidRPr="00F66278">
              <w:rPr>
                <w:rFonts w:ascii="Segoe UI" w:hAnsi="Segoe UI" w:cs="Segoe UI"/>
                <w:b/>
                <w:color w:val="172B4D"/>
                <w:sz w:val="21"/>
                <w:szCs w:val="21"/>
                <w:lang w:val="en-US"/>
              </w:rPr>
              <w:t>19</w:t>
            </w:r>
          </w:p>
        </w:tc>
        <w:tc>
          <w:tcPr>
            <w:tcW w:w="58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96F0DFA" w14:textId="1CD47101" w:rsidR="00EC2495" w:rsidRPr="00F66278" w:rsidRDefault="00C62047" w:rsidP="00AC3620">
            <w:pPr>
              <w:jc w:val="center"/>
              <w:rPr>
                <w:rFonts w:ascii="Segoe UI" w:hAnsi="Segoe UI" w:cs="Segoe UI"/>
                <w:b/>
                <w:color w:val="172B4D"/>
                <w:sz w:val="21"/>
                <w:szCs w:val="21"/>
                <w:lang w:val="en-US"/>
              </w:rPr>
            </w:pPr>
            <w:r>
              <w:rPr>
                <w:rFonts w:ascii="Segoe UI" w:hAnsi="Segoe UI" w:cs="Segoe UI"/>
                <w:b/>
                <w:color w:val="172B4D"/>
                <w:sz w:val="21"/>
                <w:szCs w:val="21"/>
                <w:lang w:val="en-US"/>
              </w:rPr>
              <w:t>Q</w:t>
            </w:r>
            <w:r w:rsidR="00EC2495" w:rsidRPr="00F66278">
              <w:rPr>
                <w:rFonts w:ascii="Segoe UI" w:hAnsi="Segoe UI" w:cs="Segoe UI"/>
                <w:b/>
                <w:color w:val="172B4D"/>
                <w:sz w:val="21"/>
                <w:szCs w:val="21"/>
                <w:lang w:val="en-US"/>
              </w:rPr>
              <w:t>3-</w:t>
            </w:r>
            <w:r w:rsidR="00AE0C8C">
              <w:rPr>
                <w:rFonts w:ascii="Segoe UI" w:hAnsi="Segoe UI" w:cs="Segoe UI"/>
                <w:b/>
                <w:color w:val="172B4D"/>
                <w:sz w:val="21"/>
                <w:szCs w:val="21"/>
                <w:lang w:val="en-US"/>
              </w:rPr>
              <w:t>20</w:t>
            </w:r>
            <w:r w:rsidR="00EC2495" w:rsidRPr="00F66278">
              <w:rPr>
                <w:rFonts w:ascii="Segoe UI" w:hAnsi="Segoe UI" w:cs="Segoe UI"/>
                <w:b/>
                <w:color w:val="172B4D"/>
                <w:sz w:val="21"/>
                <w:szCs w:val="21"/>
                <w:lang w:val="en-US"/>
              </w:rPr>
              <w:t>19</w:t>
            </w:r>
          </w:p>
        </w:tc>
        <w:tc>
          <w:tcPr>
            <w:tcW w:w="58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4781965" w14:textId="4A62A924" w:rsidR="00EC2495" w:rsidRPr="00F66278" w:rsidRDefault="00C62047" w:rsidP="00AC3620">
            <w:pPr>
              <w:jc w:val="center"/>
              <w:rPr>
                <w:rFonts w:ascii="Segoe UI" w:hAnsi="Segoe UI" w:cs="Segoe UI"/>
                <w:b/>
                <w:color w:val="172B4D"/>
                <w:sz w:val="21"/>
                <w:szCs w:val="21"/>
                <w:lang w:val="en-US"/>
              </w:rPr>
            </w:pPr>
            <w:r>
              <w:rPr>
                <w:rFonts w:ascii="Segoe UI" w:hAnsi="Segoe UI" w:cs="Segoe UI"/>
                <w:b/>
                <w:color w:val="172B4D"/>
                <w:sz w:val="21"/>
                <w:szCs w:val="21"/>
                <w:lang w:val="en-US"/>
              </w:rPr>
              <w:t>Q</w:t>
            </w:r>
            <w:r w:rsidR="00EC2495" w:rsidRPr="00F66278">
              <w:rPr>
                <w:rFonts w:ascii="Segoe UI" w:hAnsi="Segoe UI" w:cs="Segoe UI"/>
                <w:b/>
                <w:color w:val="172B4D"/>
                <w:sz w:val="21"/>
                <w:szCs w:val="21"/>
                <w:lang w:val="en-US"/>
              </w:rPr>
              <w:t>4-</w:t>
            </w:r>
            <w:r w:rsidR="00AE0C8C">
              <w:rPr>
                <w:rFonts w:ascii="Segoe UI" w:hAnsi="Segoe UI" w:cs="Segoe UI"/>
                <w:b/>
                <w:color w:val="172B4D"/>
                <w:sz w:val="21"/>
                <w:szCs w:val="21"/>
                <w:lang w:val="en-US"/>
              </w:rPr>
              <w:t>20</w:t>
            </w:r>
            <w:r w:rsidR="00EC2495" w:rsidRPr="00F66278">
              <w:rPr>
                <w:rFonts w:ascii="Segoe UI" w:hAnsi="Segoe UI" w:cs="Segoe UI"/>
                <w:b/>
                <w:color w:val="172B4D"/>
                <w:sz w:val="21"/>
                <w:szCs w:val="21"/>
                <w:lang w:val="en-US"/>
              </w:rPr>
              <w:t>19</w:t>
            </w:r>
          </w:p>
        </w:tc>
      </w:tr>
      <w:tr w:rsidR="00EC2495" w:rsidRPr="00197137" w14:paraId="16C8201C" w14:textId="77777777" w:rsidTr="00EC2495">
        <w:trPr>
          <w:trHeight w:val="375"/>
        </w:trPr>
        <w:tc>
          <w:tcPr>
            <w:tcW w:w="1475" w:type="pct"/>
            <w:tcBorders>
              <w:top w:val="nil"/>
              <w:left w:val="single" w:sz="4" w:space="0" w:color="auto"/>
              <w:bottom w:val="single" w:sz="4" w:space="0" w:color="auto"/>
              <w:right w:val="single" w:sz="4" w:space="0" w:color="auto"/>
            </w:tcBorders>
            <w:shd w:val="clear" w:color="000000" w:fill="FFFFFF"/>
            <w:vAlign w:val="center"/>
            <w:hideMark/>
          </w:tcPr>
          <w:p w14:paraId="2F0FC49B"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Clerical support workers</w:t>
            </w:r>
          </w:p>
        </w:tc>
        <w:tc>
          <w:tcPr>
            <w:tcW w:w="587" w:type="pct"/>
            <w:tcBorders>
              <w:top w:val="nil"/>
              <w:left w:val="nil"/>
              <w:bottom w:val="single" w:sz="4" w:space="0" w:color="auto"/>
              <w:right w:val="single" w:sz="4" w:space="0" w:color="auto"/>
            </w:tcBorders>
            <w:shd w:val="clear" w:color="000000" w:fill="FFFFFF"/>
            <w:noWrap/>
            <w:vAlign w:val="center"/>
            <w:hideMark/>
          </w:tcPr>
          <w:p w14:paraId="0AF63E7C" w14:textId="7FB63A80" w:rsidR="00EC2495" w:rsidRPr="00F66278" w:rsidRDefault="00EC2495" w:rsidP="00EC2495">
            <w:pPr>
              <w:jc w:val="center"/>
              <w:rPr>
                <w:rFonts w:cs="Calibri"/>
                <w:color w:val="172B4D"/>
              </w:rPr>
            </w:pPr>
            <w:r w:rsidRPr="00F66278">
              <w:rPr>
                <w:rFonts w:cs="Calibri"/>
                <w:color w:val="172B4D"/>
              </w:rPr>
              <w:t>11</w:t>
            </w:r>
            <w:r w:rsidR="00AE0C8C">
              <w:rPr>
                <w:rFonts w:cs="Calibri"/>
                <w:color w:val="172B4D"/>
              </w:rPr>
              <w:t>.</w:t>
            </w:r>
            <w:r w:rsidRPr="00F66278">
              <w:rPr>
                <w:rFonts w:cs="Calibri"/>
                <w:color w:val="172B4D"/>
              </w:rPr>
              <w:t>2</w:t>
            </w:r>
          </w:p>
        </w:tc>
        <w:tc>
          <w:tcPr>
            <w:tcW w:w="587" w:type="pct"/>
            <w:tcBorders>
              <w:top w:val="nil"/>
              <w:left w:val="nil"/>
              <w:bottom w:val="single" w:sz="4" w:space="0" w:color="auto"/>
              <w:right w:val="single" w:sz="4" w:space="0" w:color="auto"/>
            </w:tcBorders>
            <w:shd w:val="clear" w:color="000000" w:fill="FFFFFF"/>
            <w:noWrap/>
            <w:vAlign w:val="center"/>
            <w:hideMark/>
          </w:tcPr>
          <w:p w14:paraId="23C7DC29" w14:textId="4F1F6754" w:rsidR="00EC2495" w:rsidRPr="00F66278" w:rsidRDefault="00EC2495" w:rsidP="00EC2495">
            <w:pPr>
              <w:jc w:val="center"/>
              <w:rPr>
                <w:rFonts w:cs="Calibri"/>
                <w:color w:val="172B4D"/>
              </w:rPr>
            </w:pPr>
            <w:r w:rsidRPr="00F66278">
              <w:rPr>
                <w:rFonts w:cs="Calibri"/>
                <w:color w:val="172B4D"/>
              </w:rPr>
              <w:t>11</w:t>
            </w:r>
            <w:r w:rsidR="00AE0C8C">
              <w:rPr>
                <w:rFonts w:cs="Calibri"/>
                <w:color w:val="172B4D"/>
              </w:rPr>
              <w:t>.</w:t>
            </w:r>
            <w:r w:rsidRPr="00F66278">
              <w:rPr>
                <w:rFonts w:cs="Calibri"/>
                <w:color w:val="172B4D"/>
              </w:rPr>
              <w:t>0</w:t>
            </w:r>
          </w:p>
        </w:tc>
        <w:tc>
          <w:tcPr>
            <w:tcW w:w="587" w:type="pct"/>
            <w:tcBorders>
              <w:top w:val="nil"/>
              <w:left w:val="nil"/>
              <w:bottom w:val="single" w:sz="4" w:space="0" w:color="auto"/>
              <w:right w:val="single" w:sz="4" w:space="0" w:color="auto"/>
            </w:tcBorders>
            <w:shd w:val="clear" w:color="000000" w:fill="FFFFFF"/>
            <w:noWrap/>
            <w:vAlign w:val="center"/>
            <w:hideMark/>
          </w:tcPr>
          <w:p w14:paraId="4555E4D0" w14:textId="650C3CCD" w:rsidR="00EC2495" w:rsidRPr="00F66278" w:rsidRDefault="00EC2495" w:rsidP="00EC2495">
            <w:pPr>
              <w:jc w:val="center"/>
              <w:rPr>
                <w:rFonts w:cs="Calibri"/>
                <w:color w:val="172B4D"/>
              </w:rPr>
            </w:pPr>
            <w:r w:rsidRPr="00F66278">
              <w:rPr>
                <w:rFonts w:cs="Calibri"/>
                <w:color w:val="172B4D"/>
              </w:rPr>
              <w:t>11</w:t>
            </w:r>
            <w:r w:rsidR="00AE0C8C">
              <w:rPr>
                <w:rFonts w:cs="Calibri"/>
                <w:color w:val="172B4D"/>
              </w:rPr>
              <w:t>.</w:t>
            </w:r>
            <w:r w:rsidRPr="00F66278">
              <w:rPr>
                <w:rFonts w:cs="Calibri"/>
                <w:color w:val="172B4D"/>
              </w:rPr>
              <w:t>6</w:t>
            </w:r>
          </w:p>
        </w:tc>
        <w:tc>
          <w:tcPr>
            <w:tcW w:w="587" w:type="pct"/>
            <w:tcBorders>
              <w:top w:val="nil"/>
              <w:left w:val="nil"/>
              <w:bottom w:val="single" w:sz="4" w:space="0" w:color="auto"/>
              <w:right w:val="single" w:sz="4" w:space="0" w:color="auto"/>
            </w:tcBorders>
            <w:shd w:val="clear" w:color="000000" w:fill="FFFFFF"/>
            <w:noWrap/>
            <w:vAlign w:val="center"/>
            <w:hideMark/>
          </w:tcPr>
          <w:p w14:paraId="0B37EA30" w14:textId="1843006A" w:rsidR="00EC2495" w:rsidRPr="00F66278" w:rsidRDefault="00EC2495" w:rsidP="00EC2495">
            <w:pPr>
              <w:jc w:val="center"/>
              <w:rPr>
                <w:rFonts w:cs="Calibri"/>
                <w:color w:val="172B4D"/>
              </w:rPr>
            </w:pPr>
            <w:r w:rsidRPr="00F66278">
              <w:rPr>
                <w:rFonts w:cs="Calibri"/>
                <w:color w:val="172B4D"/>
              </w:rPr>
              <w:t>11</w:t>
            </w:r>
            <w:r w:rsidR="00AE0C8C">
              <w:rPr>
                <w:rFonts w:cs="Calibri"/>
                <w:color w:val="172B4D"/>
              </w:rPr>
              <w:t>.</w:t>
            </w:r>
            <w:r w:rsidRPr="00F66278">
              <w:rPr>
                <w:rFonts w:cs="Calibri"/>
                <w:color w:val="172B4D"/>
              </w:rPr>
              <w:t>6</w:t>
            </w:r>
          </w:p>
        </w:tc>
        <w:tc>
          <w:tcPr>
            <w:tcW w:w="587" w:type="pct"/>
            <w:tcBorders>
              <w:top w:val="nil"/>
              <w:left w:val="nil"/>
              <w:bottom w:val="single" w:sz="4" w:space="0" w:color="auto"/>
              <w:right w:val="single" w:sz="4" w:space="0" w:color="auto"/>
            </w:tcBorders>
            <w:shd w:val="clear" w:color="000000" w:fill="FFFFFF"/>
            <w:noWrap/>
            <w:vAlign w:val="center"/>
            <w:hideMark/>
          </w:tcPr>
          <w:p w14:paraId="7B1FF91E" w14:textId="3AB48386" w:rsidR="00EC2495" w:rsidRPr="00F66278" w:rsidRDefault="00EC2495" w:rsidP="00EC2495">
            <w:pPr>
              <w:jc w:val="center"/>
              <w:rPr>
                <w:rFonts w:cs="Calibri"/>
                <w:color w:val="172B4D"/>
              </w:rPr>
            </w:pPr>
            <w:r w:rsidRPr="00F66278">
              <w:rPr>
                <w:rFonts w:cs="Calibri"/>
                <w:color w:val="172B4D"/>
              </w:rPr>
              <w:t>11</w:t>
            </w:r>
            <w:r w:rsidR="00AE0C8C">
              <w:rPr>
                <w:rFonts w:cs="Calibri"/>
                <w:color w:val="172B4D"/>
              </w:rPr>
              <w:t>.</w:t>
            </w:r>
            <w:r w:rsidRPr="00F66278">
              <w:rPr>
                <w:rFonts w:cs="Calibri"/>
                <w:color w:val="172B4D"/>
              </w:rPr>
              <w:t>1</w:t>
            </w:r>
          </w:p>
        </w:tc>
        <w:tc>
          <w:tcPr>
            <w:tcW w:w="587" w:type="pct"/>
            <w:tcBorders>
              <w:top w:val="nil"/>
              <w:left w:val="nil"/>
              <w:bottom w:val="single" w:sz="4" w:space="0" w:color="auto"/>
              <w:right w:val="single" w:sz="4" w:space="0" w:color="auto"/>
            </w:tcBorders>
            <w:shd w:val="clear" w:color="000000" w:fill="FFFFFF"/>
            <w:noWrap/>
            <w:vAlign w:val="center"/>
            <w:hideMark/>
          </w:tcPr>
          <w:p w14:paraId="14A4F142" w14:textId="722AD901" w:rsidR="00EC2495" w:rsidRPr="00F66278" w:rsidRDefault="00EC2495" w:rsidP="00EC2495">
            <w:pPr>
              <w:jc w:val="center"/>
              <w:rPr>
                <w:rFonts w:cs="Calibri"/>
                <w:color w:val="172B4D"/>
              </w:rPr>
            </w:pPr>
            <w:r w:rsidRPr="00F66278">
              <w:rPr>
                <w:rFonts w:cs="Calibri"/>
                <w:color w:val="172B4D"/>
              </w:rPr>
              <w:t>11</w:t>
            </w:r>
            <w:r w:rsidR="00AE0C8C">
              <w:rPr>
                <w:rFonts w:cs="Calibri"/>
                <w:color w:val="172B4D"/>
              </w:rPr>
              <w:t>.</w:t>
            </w:r>
            <w:r w:rsidRPr="00F66278">
              <w:rPr>
                <w:rFonts w:cs="Calibri"/>
                <w:color w:val="172B4D"/>
              </w:rPr>
              <w:t>2</w:t>
            </w:r>
          </w:p>
        </w:tc>
      </w:tr>
      <w:tr w:rsidR="00EC2495" w:rsidRPr="00197137" w14:paraId="61352FD7" w14:textId="77777777" w:rsidTr="00EC2495">
        <w:trPr>
          <w:trHeight w:val="375"/>
        </w:trPr>
        <w:tc>
          <w:tcPr>
            <w:tcW w:w="1475" w:type="pct"/>
            <w:tcBorders>
              <w:top w:val="nil"/>
              <w:left w:val="single" w:sz="4" w:space="0" w:color="auto"/>
              <w:bottom w:val="single" w:sz="4" w:space="0" w:color="auto"/>
              <w:right w:val="single" w:sz="4" w:space="0" w:color="auto"/>
            </w:tcBorders>
            <w:shd w:val="clear" w:color="000000" w:fill="FFFFFF"/>
            <w:vAlign w:val="center"/>
            <w:hideMark/>
          </w:tcPr>
          <w:p w14:paraId="16848F51"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Craft and related trades workers</w:t>
            </w:r>
          </w:p>
        </w:tc>
        <w:tc>
          <w:tcPr>
            <w:tcW w:w="587" w:type="pct"/>
            <w:tcBorders>
              <w:top w:val="nil"/>
              <w:left w:val="nil"/>
              <w:bottom w:val="single" w:sz="4" w:space="0" w:color="auto"/>
              <w:right w:val="single" w:sz="4" w:space="0" w:color="auto"/>
            </w:tcBorders>
            <w:shd w:val="clear" w:color="000000" w:fill="FFFFFF"/>
            <w:noWrap/>
            <w:vAlign w:val="center"/>
            <w:hideMark/>
          </w:tcPr>
          <w:p w14:paraId="767AD24A" w14:textId="0D6152B4" w:rsidR="00EC2495" w:rsidRPr="00F66278" w:rsidRDefault="00EC2495" w:rsidP="00EC2495">
            <w:pPr>
              <w:jc w:val="center"/>
              <w:rPr>
                <w:rFonts w:cs="Calibri"/>
                <w:color w:val="172B4D"/>
              </w:rPr>
            </w:pPr>
            <w:r w:rsidRPr="00F66278">
              <w:rPr>
                <w:rFonts w:cs="Calibri"/>
                <w:color w:val="172B4D"/>
              </w:rPr>
              <w:t>14</w:t>
            </w:r>
            <w:r w:rsidR="00AE0C8C">
              <w:rPr>
                <w:rFonts w:cs="Calibri"/>
                <w:color w:val="172B4D"/>
              </w:rPr>
              <w:t>.</w:t>
            </w:r>
            <w:r w:rsidRPr="00F66278">
              <w:rPr>
                <w:rFonts w:cs="Calibri"/>
                <w:color w:val="172B4D"/>
              </w:rPr>
              <w:t>8</w:t>
            </w:r>
          </w:p>
        </w:tc>
        <w:tc>
          <w:tcPr>
            <w:tcW w:w="587" w:type="pct"/>
            <w:tcBorders>
              <w:top w:val="nil"/>
              <w:left w:val="nil"/>
              <w:bottom w:val="single" w:sz="4" w:space="0" w:color="auto"/>
              <w:right w:val="single" w:sz="4" w:space="0" w:color="auto"/>
            </w:tcBorders>
            <w:shd w:val="clear" w:color="000000" w:fill="FFFFFF"/>
            <w:noWrap/>
            <w:vAlign w:val="center"/>
            <w:hideMark/>
          </w:tcPr>
          <w:p w14:paraId="60E2661B" w14:textId="67FE52B2" w:rsidR="00EC2495" w:rsidRPr="00F66278" w:rsidRDefault="00EC2495" w:rsidP="00EC2495">
            <w:pPr>
              <w:jc w:val="center"/>
              <w:rPr>
                <w:rFonts w:cs="Calibri"/>
                <w:color w:val="172B4D"/>
              </w:rPr>
            </w:pPr>
            <w:r w:rsidRPr="00F66278">
              <w:rPr>
                <w:rFonts w:cs="Calibri"/>
                <w:color w:val="172B4D"/>
              </w:rPr>
              <w:t>14</w:t>
            </w:r>
            <w:r w:rsidR="00AE0C8C">
              <w:rPr>
                <w:rFonts w:cs="Calibri"/>
                <w:color w:val="172B4D"/>
              </w:rPr>
              <w:t>.</w:t>
            </w:r>
            <w:r w:rsidRPr="00F66278">
              <w:rPr>
                <w:rFonts w:cs="Calibri"/>
                <w:color w:val="172B4D"/>
              </w:rPr>
              <w:t>9</w:t>
            </w:r>
          </w:p>
        </w:tc>
        <w:tc>
          <w:tcPr>
            <w:tcW w:w="587" w:type="pct"/>
            <w:tcBorders>
              <w:top w:val="nil"/>
              <w:left w:val="nil"/>
              <w:bottom w:val="single" w:sz="4" w:space="0" w:color="auto"/>
              <w:right w:val="single" w:sz="4" w:space="0" w:color="auto"/>
            </w:tcBorders>
            <w:shd w:val="clear" w:color="000000" w:fill="FFFFFF"/>
            <w:noWrap/>
            <w:vAlign w:val="center"/>
            <w:hideMark/>
          </w:tcPr>
          <w:p w14:paraId="6873F226" w14:textId="6DEE72A7" w:rsidR="00EC2495" w:rsidRPr="00F66278" w:rsidRDefault="00EC2495" w:rsidP="00EC2495">
            <w:pPr>
              <w:jc w:val="center"/>
              <w:rPr>
                <w:rFonts w:cs="Calibri"/>
                <w:color w:val="172B4D"/>
              </w:rPr>
            </w:pPr>
            <w:r w:rsidRPr="00F66278">
              <w:rPr>
                <w:rFonts w:cs="Calibri"/>
                <w:color w:val="172B4D"/>
              </w:rPr>
              <w:t>14</w:t>
            </w:r>
            <w:r w:rsidR="00AE0C8C">
              <w:rPr>
                <w:rFonts w:cs="Calibri"/>
                <w:color w:val="172B4D"/>
              </w:rPr>
              <w:t>.</w:t>
            </w:r>
            <w:r w:rsidRPr="00F66278">
              <w:rPr>
                <w:rFonts w:cs="Calibri"/>
                <w:color w:val="172B4D"/>
              </w:rPr>
              <w:t>7</w:t>
            </w:r>
          </w:p>
        </w:tc>
        <w:tc>
          <w:tcPr>
            <w:tcW w:w="587" w:type="pct"/>
            <w:tcBorders>
              <w:top w:val="nil"/>
              <w:left w:val="nil"/>
              <w:bottom w:val="single" w:sz="4" w:space="0" w:color="auto"/>
              <w:right w:val="single" w:sz="4" w:space="0" w:color="auto"/>
            </w:tcBorders>
            <w:shd w:val="clear" w:color="000000" w:fill="FFFFFF"/>
            <w:noWrap/>
            <w:vAlign w:val="center"/>
            <w:hideMark/>
          </w:tcPr>
          <w:p w14:paraId="431D7B90" w14:textId="03EAFC48" w:rsidR="00EC2495" w:rsidRPr="00F66278" w:rsidRDefault="00EC2495" w:rsidP="00EC2495">
            <w:pPr>
              <w:jc w:val="center"/>
              <w:rPr>
                <w:rFonts w:cs="Calibri"/>
                <w:color w:val="172B4D"/>
              </w:rPr>
            </w:pPr>
            <w:r w:rsidRPr="00F66278">
              <w:rPr>
                <w:rFonts w:cs="Calibri"/>
                <w:color w:val="172B4D"/>
              </w:rPr>
              <w:t>14</w:t>
            </w:r>
            <w:r w:rsidR="00AE0C8C">
              <w:rPr>
                <w:rFonts w:cs="Calibri"/>
                <w:color w:val="172B4D"/>
              </w:rPr>
              <w:t>.</w:t>
            </w:r>
            <w:r w:rsidRPr="00F66278">
              <w:rPr>
                <w:rFonts w:cs="Calibri"/>
                <w:color w:val="172B4D"/>
              </w:rPr>
              <w:t>5</w:t>
            </w:r>
          </w:p>
        </w:tc>
        <w:tc>
          <w:tcPr>
            <w:tcW w:w="587" w:type="pct"/>
            <w:tcBorders>
              <w:top w:val="nil"/>
              <w:left w:val="nil"/>
              <w:bottom w:val="single" w:sz="4" w:space="0" w:color="auto"/>
              <w:right w:val="single" w:sz="4" w:space="0" w:color="auto"/>
            </w:tcBorders>
            <w:shd w:val="clear" w:color="000000" w:fill="FFFFFF"/>
            <w:noWrap/>
            <w:vAlign w:val="center"/>
            <w:hideMark/>
          </w:tcPr>
          <w:p w14:paraId="5D1A2265" w14:textId="03235964" w:rsidR="00EC2495" w:rsidRPr="00F66278" w:rsidRDefault="00EC2495" w:rsidP="00EC2495">
            <w:pPr>
              <w:jc w:val="center"/>
              <w:rPr>
                <w:rFonts w:cs="Calibri"/>
                <w:color w:val="172B4D"/>
              </w:rPr>
            </w:pPr>
            <w:r w:rsidRPr="00F66278">
              <w:rPr>
                <w:rFonts w:cs="Calibri"/>
                <w:color w:val="172B4D"/>
              </w:rPr>
              <w:t>14</w:t>
            </w:r>
            <w:r w:rsidR="00AE0C8C">
              <w:rPr>
                <w:rFonts w:cs="Calibri"/>
                <w:color w:val="172B4D"/>
              </w:rPr>
              <w:t>.</w:t>
            </w:r>
            <w:r w:rsidRPr="00F66278">
              <w:rPr>
                <w:rFonts w:cs="Calibri"/>
                <w:color w:val="172B4D"/>
              </w:rPr>
              <w:t>3</w:t>
            </w:r>
          </w:p>
        </w:tc>
        <w:tc>
          <w:tcPr>
            <w:tcW w:w="587" w:type="pct"/>
            <w:tcBorders>
              <w:top w:val="nil"/>
              <w:left w:val="nil"/>
              <w:bottom w:val="single" w:sz="4" w:space="0" w:color="auto"/>
              <w:right w:val="single" w:sz="4" w:space="0" w:color="auto"/>
            </w:tcBorders>
            <w:shd w:val="clear" w:color="000000" w:fill="FFFFFF"/>
            <w:noWrap/>
            <w:vAlign w:val="center"/>
            <w:hideMark/>
          </w:tcPr>
          <w:p w14:paraId="4EA669C9" w14:textId="04150242" w:rsidR="00EC2495" w:rsidRPr="00F66278" w:rsidRDefault="00EC2495" w:rsidP="00EC2495">
            <w:pPr>
              <w:jc w:val="center"/>
              <w:rPr>
                <w:rFonts w:cs="Calibri"/>
                <w:color w:val="172B4D"/>
              </w:rPr>
            </w:pPr>
            <w:r w:rsidRPr="00F66278">
              <w:rPr>
                <w:rFonts w:cs="Calibri"/>
                <w:color w:val="172B4D"/>
              </w:rPr>
              <w:t>14</w:t>
            </w:r>
            <w:r w:rsidR="00AE0C8C">
              <w:rPr>
                <w:rFonts w:cs="Calibri"/>
                <w:color w:val="172B4D"/>
              </w:rPr>
              <w:t>.</w:t>
            </w:r>
            <w:r w:rsidRPr="00F66278">
              <w:rPr>
                <w:rFonts w:cs="Calibri"/>
                <w:color w:val="172B4D"/>
              </w:rPr>
              <w:t>6</w:t>
            </w:r>
          </w:p>
        </w:tc>
      </w:tr>
      <w:tr w:rsidR="00EC2495" w:rsidRPr="00197137" w14:paraId="3E379B43" w14:textId="77777777" w:rsidTr="00EC2495">
        <w:trPr>
          <w:trHeight w:val="375"/>
        </w:trPr>
        <w:tc>
          <w:tcPr>
            <w:tcW w:w="1475" w:type="pct"/>
            <w:tcBorders>
              <w:top w:val="nil"/>
              <w:left w:val="single" w:sz="4" w:space="0" w:color="auto"/>
              <w:bottom w:val="single" w:sz="4" w:space="0" w:color="auto"/>
              <w:right w:val="single" w:sz="4" w:space="0" w:color="auto"/>
            </w:tcBorders>
            <w:shd w:val="clear" w:color="000000" w:fill="FFFFFF"/>
            <w:vAlign w:val="center"/>
            <w:hideMark/>
          </w:tcPr>
          <w:p w14:paraId="5079338E"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Elementary occupations</w:t>
            </w:r>
          </w:p>
        </w:tc>
        <w:tc>
          <w:tcPr>
            <w:tcW w:w="587" w:type="pct"/>
            <w:tcBorders>
              <w:top w:val="nil"/>
              <w:left w:val="nil"/>
              <w:bottom w:val="single" w:sz="4" w:space="0" w:color="auto"/>
              <w:right w:val="single" w:sz="4" w:space="0" w:color="auto"/>
            </w:tcBorders>
            <w:shd w:val="clear" w:color="000000" w:fill="FFFFFF"/>
            <w:noWrap/>
            <w:vAlign w:val="center"/>
            <w:hideMark/>
          </w:tcPr>
          <w:p w14:paraId="54BBB05E" w14:textId="036A8D29" w:rsidR="00EC2495" w:rsidRPr="00F66278" w:rsidRDefault="00EC2495" w:rsidP="00EC2495">
            <w:pPr>
              <w:jc w:val="center"/>
              <w:rPr>
                <w:rFonts w:cs="Calibri"/>
                <w:color w:val="172B4D"/>
              </w:rPr>
            </w:pPr>
            <w:r w:rsidRPr="00F66278">
              <w:rPr>
                <w:rFonts w:cs="Calibri"/>
                <w:color w:val="172B4D"/>
              </w:rPr>
              <w:t>11</w:t>
            </w:r>
            <w:r w:rsidR="00AE0C8C">
              <w:rPr>
                <w:rFonts w:cs="Calibri"/>
                <w:color w:val="172B4D"/>
              </w:rPr>
              <w:t>.</w:t>
            </w:r>
            <w:r w:rsidRPr="00F66278">
              <w:rPr>
                <w:rFonts w:cs="Calibri"/>
                <w:color w:val="172B4D"/>
              </w:rPr>
              <w:t>1</w:t>
            </w:r>
          </w:p>
        </w:tc>
        <w:tc>
          <w:tcPr>
            <w:tcW w:w="587" w:type="pct"/>
            <w:tcBorders>
              <w:top w:val="nil"/>
              <w:left w:val="nil"/>
              <w:bottom w:val="single" w:sz="4" w:space="0" w:color="auto"/>
              <w:right w:val="single" w:sz="4" w:space="0" w:color="auto"/>
            </w:tcBorders>
            <w:shd w:val="clear" w:color="000000" w:fill="FFFFFF"/>
            <w:noWrap/>
            <w:vAlign w:val="center"/>
            <w:hideMark/>
          </w:tcPr>
          <w:p w14:paraId="3F69E190" w14:textId="46D111B0" w:rsidR="00EC2495" w:rsidRPr="00F66278" w:rsidRDefault="00EC2495" w:rsidP="00EC2495">
            <w:pPr>
              <w:jc w:val="center"/>
              <w:rPr>
                <w:rFonts w:cs="Calibri"/>
                <w:color w:val="172B4D"/>
              </w:rPr>
            </w:pPr>
            <w:r w:rsidRPr="00F66278">
              <w:rPr>
                <w:rFonts w:cs="Calibri"/>
                <w:color w:val="172B4D"/>
              </w:rPr>
              <w:t>11</w:t>
            </w:r>
            <w:r w:rsidR="00AE0C8C">
              <w:rPr>
                <w:rFonts w:cs="Calibri"/>
                <w:color w:val="172B4D"/>
              </w:rPr>
              <w:t>.</w:t>
            </w:r>
            <w:r w:rsidRPr="00F66278">
              <w:rPr>
                <w:rFonts w:cs="Calibri"/>
                <w:color w:val="172B4D"/>
              </w:rPr>
              <w:t>3</w:t>
            </w:r>
          </w:p>
        </w:tc>
        <w:tc>
          <w:tcPr>
            <w:tcW w:w="587" w:type="pct"/>
            <w:tcBorders>
              <w:top w:val="nil"/>
              <w:left w:val="nil"/>
              <w:bottom w:val="single" w:sz="4" w:space="0" w:color="auto"/>
              <w:right w:val="single" w:sz="4" w:space="0" w:color="auto"/>
            </w:tcBorders>
            <w:shd w:val="clear" w:color="000000" w:fill="FFFFFF"/>
            <w:noWrap/>
            <w:vAlign w:val="center"/>
            <w:hideMark/>
          </w:tcPr>
          <w:p w14:paraId="5BFF1BDD" w14:textId="6BBC472C" w:rsidR="00EC2495" w:rsidRPr="00F66278" w:rsidRDefault="00EC2495" w:rsidP="00EC2495">
            <w:pPr>
              <w:jc w:val="center"/>
              <w:rPr>
                <w:rFonts w:cs="Calibri"/>
                <w:color w:val="172B4D"/>
              </w:rPr>
            </w:pPr>
            <w:r w:rsidRPr="00F66278">
              <w:rPr>
                <w:rFonts w:cs="Calibri"/>
                <w:color w:val="172B4D"/>
              </w:rPr>
              <w:t>10</w:t>
            </w:r>
            <w:r w:rsidR="00AE0C8C">
              <w:rPr>
                <w:rFonts w:cs="Calibri"/>
                <w:color w:val="172B4D"/>
              </w:rPr>
              <w:t>.</w:t>
            </w:r>
            <w:r w:rsidRPr="00F66278">
              <w:rPr>
                <w:rFonts w:cs="Calibri"/>
                <w:color w:val="172B4D"/>
              </w:rPr>
              <w:t>8</w:t>
            </w:r>
          </w:p>
        </w:tc>
        <w:tc>
          <w:tcPr>
            <w:tcW w:w="587" w:type="pct"/>
            <w:tcBorders>
              <w:top w:val="nil"/>
              <w:left w:val="nil"/>
              <w:bottom w:val="single" w:sz="4" w:space="0" w:color="auto"/>
              <w:right w:val="single" w:sz="4" w:space="0" w:color="auto"/>
            </w:tcBorders>
            <w:shd w:val="clear" w:color="000000" w:fill="FFFFFF"/>
            <w:noWrap/>
            <w:vAlign w:val="center"/>
            <w:hideMark/>
          </w:tcPr>
          <w:p w14:paraId="64DCE338" w14:textId="67BC544E" w:rsidR="00EC2495" w:rsidRPr="00F66278" w:rsidRDefault="00EC2495" w:rsidP="00EC2495">
            <w:pPr>
              <w:jc w:val="center"/>
              <w:rPr>
                <w:rFonts w:cs="Calibri"/>
                <w:color w:val="172B4D"/>
              </w:rPr>
            </w:pPr>
            <w:r w:rsidRPr="00F66278">
              <w:rPr>
                <w:rFonts w:cs="Calibri"/>
                <w:color w:val="172B4D"/>
              </w:rPr>
              <w:t>10</w:t>
            </w:r>
            <w:r w:rsidR="00AE0C8C">
              <w:rPr>
                <w:rFonts w:cs="Calibri"/>
                <w:color w:val="172B4D"/>
              </w:rPr>
              <w:t>.</w:t>
            </w:r>
            <w:r w:rsidRPr="00F66278">
              <w:rPr>
                <w:rFonts w:cs="Calibri"/>
                <w:color w:val="172B4D"/>
              </w:rPr>
              <w:t>7</w:t>
            </w:r>
          </w:p>
        </w:tc>
        <w:tc>
          <w:tcPr>
            <w:tcW w:w="587" w:type="pct"/>
            <w:tcBorders>
              <w:top w:val="nil"/>
              <w:left w:val="nil"/>
              <w:bottom w:val="single" w:sz="4" w:space="0" w:color="auto"/>
              <w:right w:val="single" w:sz="4" w:space="0" w:color="auto"/>
            </w:tcBorders>
            <w:shd w:val="clear" w:color="000000" w:fill="FFFFFF"/>
            <w:noWrap/>
            <w:vAlign w:val="center"/>
            <w:hideMark/>
          </w:tcPr>
          <w:p w14:paraId="0905D7CE" w14:textId="455ACC78" w:rsidR="00EC2495" w:rsidRPr="00F66278" w:rsidRDefault="00EC2495" w:rsidP="00EC2495">
            <w:pPr>
              <w:jc w:val="center"/>
              <w:rPr>
                <w:rFonts w:cs="Calibri"/>
                <w:color w:val="172B4D"/>
              </w:rPr>
            </w:pPr>
            <w:r w:rsidRPr="00F66278">
              <w:rPr>
                <w:rFonts w:cs="Calibri"/>
                <w:color w:val="172B4D"/>
              </w:rPr>
              <w:t>11</w:t>
            </w:r>
            <w:r w:rsidR="00AE0C8C">
              <w:rPr>
                <w:rFonts w:cs="Calibri"/>
                <w:color w:val="172B4D"/>
              </w:rPr>
              <w:t>.</w:t>
            </w:r>
            <w:r w:rsidRPr="00F66278">
              <w:rPr>
                <w:rFonts w:cs="Calibri"/>
                <w:color w:val="172B4D"/>
              </w:rPr>
              <w:t>2</w:t>
            </w:r>
          </w:p>
        </w:tc>
        <w:tc>
          <w:tcPr>
            <w:tcW w:w="587" w:type="pct"/>
            <w:tcBorders>
              <w:top w:val="nil"/>
              <w:left w:val="nil"/>
              <w:bottom w:val="single" w:sz="4" w:space="0" w:color="auto"/>
              <w:right w:val="single" w:sz="4" w:space="0" w:color="auto"/>
            </w:tcBorders>
            <w:shd w:val="clear" w:color="000000" w:fill="FFFFFF"/>
            <w:noWrap/>
            <w:vAlign w:val="center"/>
            <w:hideMark/>
          </w:tcPr>
          <w:p w14:paraId="4034A1FF" w14:textId="3AE614B6" w:rsidR="00EC2495" w:rsidRPr="00F66278" w:rsidRDefault="00EC2495" w:rsidP="00EC2495">
            <w:pPr>
              <w:jc w:val="center"/>
              <w:rPr>
                <w:rFonts w:cs="Calibri"/>
                <w:color w:val="172B4D"/>
              </w:rPr>
            </w:pPr>
            <w:r w:rsidRPr="00F66278">
              <w:rPr>
                <w:rFonts w:cs="Calibri"/>
                <w:color w:val="172B4D"/>
              </w:rPr>
              <w:t>11</w:t>
            </w:r>
            <w:r w:rsidR="00AE0C8C">
              <w:rPr>
                <w:rFonts w:cs="Calibri"/>
                <w:color w:val="172B4D"/>
              </w:rPr>
              <w:t>.</w:t>
            </w:r>
            <w:r w:rsidRPr="00F66278">
              <w:rPr>
                <w:rFonts w:cs="Calibri"/>
                <w:color w:val="172B4D"/>
              </w:rPr>
              <w:t>1</w:t>
            </w:r>
          </w:p>
        </w:tc>
      </w:tr>
      <w:tr w:rsidR="00EC2495" w:rsidRPr="00197137" w14:paraId="2EEF1BDC" w14:textId="77777777" w:rsidTr="00EC2495">
        <w:trPr>
          <w:trHeight w:val="375"/>
        </w:trPr>
        <w:tc>
          <w:tcPr>
            <w:tcW w:w="1475" w:type="pct"/>
            <w:tcBorders>
              <w:top w:val="nil"/>
              <w:left w:val="single" w:sz="4" w:space="0" w:color="auto"/>
              <w:bottom w:val="single" w:sz="4" w:space="0" w:color="auto"/>
              <w:right w:val="single" w:sz="4" w:space="0" w:color="auto"/>
            </w:tcBorders>
            <w:shd w:val="clear" w:color="000000" w:fill="FFFFFF"/>
            <w:vAlign w:val="center"/>
            <w:hideMark/>
          </w:tcPr>
          <w:p w14:paraId="764C3B31"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Managers</w:t>
            </w:r>
          </w:p>
        </w:tc>
        <w:tc>
          <w:tcPr>
            <w:tcW w:w="587" w:type="pct"/>
            <w:tcBorders>
              <w:top w:val="nil"/>
              <w:left w:val="nil"/>
              <w:bottom w:val="single" w:sz="4" w:space="0" w:color="auto"/>
              <w:right w:val="single" w:sz="4" w:space="0" w:color="auto"/>
            </w:tcBorders>
            <w:shd w:val="clear" w:color="000000" w:fill="FFFFFF"/>
            <w:noWrap/>
            <w:vAlign w:val="center"/>
            <w:hideMark/>
          </w:tcPr>
          <w:p w14:paraId="6587CF8B" w14:textId="73896E07" w:rsidR="00EC2495" w:rsidRPr="00F66278" w:rsidRDefault="00EC2495" w:rsidP="00EC2495">
            <w:pPr>
              <w:jc w:val="center"/>
              <w:rPr>
                <w:rFonts w:cs="Calibri"/>
                <w:color w:val="172B4D"/>
              </w:rPr>
            </w:pPr>
            <w:r w:rsidRPr="00F66278">
              <w:rPr>
                <w:rFonts w:cs="Calibri"/>
                <w:color w:val="172B4D"/>
              </w:rPr>
              <w:t>2</w:t>
            </w:r>
            <w:r w:rsidR="00AE0C8C">
              <w:rPr>
                <w:rFonts w:cs="Calibri"/>
                <w:color w:val="172B4D"/>
              </w:rPr>
              <w:t>.</w:t>
            </w:r>
            <w:r w:rsidRPr="00F66278">
              <w:rPr>
                <w:rFonts w:cs="Calibri"/>
                <w:color w:val="172B4D"/>
              </w:rPr>
              <w:t>7</w:t>
            </w:r>
          </w:p>
        </w:tc>
        <w:tc>
          <w:tcPr>
            <w:tcW w:w="587" w:type="pct"/>
            <w:tcBorders>
              <w:top w:val="nil"/>
              <w:left w:val="nil"/>
              <w:bottom w:val="single" w:sz="4" w:space="0" w:color="auto"/>
              <w:right w:val="single" w:sz="4" w:space="0" w:color="auto"/>
            </w:tcBorders>
            <w:shd w:val="clear" w:color="000000" w:fill="FFFFFF"/>
            <w:noWrap/>
            <w:vAlign w:val="center"/>
            <w:hideMark/>
          </w:tcPr>
          <w:p w14:paraId="2631F45E" w14:textId="43A7D107" w:rsidR="00EC2495" w:rsidRPr="00F66278" w:rsidRDefault="00EC2495" w:rsidP="00EC2495">
            <w:pPr>
              <w:jc w:val="center"/>
              <w:rPr>
                <w:rFonts w:cs="Calibri"/>
                <w:color w:val="172B4D"/>
              </w:rPr>
            </w:pPr>
            <w:r w:rsidRPr="00F66278">
              <w:rPr>
                <w:rFonts w:cs="Calibri"/>
                <w:color w:val="172B4D"/>
              </w:rPr>
              <w:t>2</w:t>
            </w:r>
            <w:r w:rsidR="00AE0C8C">
              <w:rPr>
                <w:rFonts w:cs="Calibri"/>
                <w:color w:val="172B4D"/>
              </w:rPr>
              <w:t>.</w:t>
            </w:r>
            <w:r w:rsidRPr="00F66278">
              <w:rPr>
                <w:rFonts w:cs="Calibri"/>
                <w:color w:val="172B4D"/>
              </w:rPr>
              <w:t>8</w:t>
            </w:r>
          </w:p>
        </w:tc>
        <w:tc>
          <w:tcPr>
            <w:tcW w:w="587" w:type="pct"/>
            <w:tcBorders>
              <w:top w:val="nil"/>
              <w:left w:val="nil"/>
              <w:bottom w:val="single" w:sz="4" w:space="0" w:color="auto"/>
              <w:right w:val="single" w:sz="4" w:space="0" w:color="auto"/>
            </w:tcBorders>
            <w:shd w:val="clear" w:color="000000" w:fill="FFFFFF"/>
            <w:noWrap/>
            <w:vAlign w:val="center"/>
            <w:hideMark/>
          </w:tcPr>
          <w:p w14:paraId="65789110" w14:textId="73701BDB" w:rsidR="00EC2495" w:rsidRPr="00F66278" w:rsidRDefault="00EC2495" w:rsidP="00EC2495">
            <w:pPr>
              <w:jc w:val="center"/>
              <w:rPr>
                <w:rFonts w:cs="Calibri"/>
                <w:color w:val="172B4D"/>
              </w:rPr>
            </w:pPr>
            <w:r w:rsidRPr="00F66278">
              <w:rPr>
                <w:rFonts w:cs="Calibri"/>
                <w:color w:val="172B4D"/>
              </w:rPr>
              <w:t>2</w:t>
            </w:r>
            <w:r w:rsidR="00AE0C8C">
              <w:rPr>
                <w:rFonts w:cs="Calibri"/>
                <w:color w:val="172B4D"/>
              </w:rPr>
              <w:t>.</w:t>
            </w:r>
            <w:r w:rsidRPr="00F66278">
              <w:rPr>
                <w:rFonts w:cs="Calibri"/>
                <w:color w:val="172B4D"/>
              </w:rPr>
              <w:t>6</w:t>
            </w:r>
          </w:p>
        </w:tc>
        <w:tc>
          <w:tcPr>
            <w:tcW w:w="587" w:type="pct"/>
            <w:tcBorders>
              <w:top w:val="nil"/>
              <w:left w:val="nil"/>
              <w:bottom w:val="single" w:sz="4" w:space="0" w:color="auto"/>
              <w:right w:val="single" w:sz="4" w:space="0" w:color="auto"/>
            </w:tcBorders>
            <w:shd w:val="clear" w:color="000000" w:fill="FFFFFF"/>
            <w:noWrap/>
            <w:vAlign w:val="center"/>
            <w:hideMark/>
          </w:tcPr>
          <w:p w14:paraId="5D6207A0" w14:textId="51EC000E" w:rsidR="00EC2495" w:rsidRPr="00F66278" w:rsidRDefault="00EC2495" w:rsidP="00EC2495">
            <w:pPr>
              <w:jc w:val="center"/>
              <w:rPr>
                <w:rFonts w:cs="Calibri"/>
                <w:color w:val="172B4D"/>
              </w:rPr>
            </w:pPr>
            <w:r w:rsidRPr="00F66278">
              <w:rPr>
                <w:rFonts w:cs="Calibri"/>
                <w:color w:val="172B4D"/>
              </w:rPr>
              <w:t>2</w:t>
            </w:r>
            <w:r w:rsidR="00AE0C8C">
              <w:rPr>
                <w:rFonts w:cs="Calibri"/>
                <w:color w:val="172B4D"/>
              </w:rPr>
              <w:t>.</w:t>
            </w:r>
            <w:r w:rsidRPr="00F66278">
              <w:rPr>
                <w:rFonts w:cs="Calibri"/>
                <w:color w:val="172B4D"/>
              </w:rPr>
              <w:t>6</w:t>
            </w:r>
          </w:p>
        </w:tc>
        <w:tc>
          <w:tcPr>
            <w:tcW w:w="587" w:type="pct"/>
            <w:tcBorders>
              <w:top w:val="nil"/>
              <w:left w:val="nil"/>
              <w:bottom w:val="single" w:sz="4" w:space="0" w:color="auto"/>
              <w:right w:val="single" w:sz="4" w:space="0" w:color="auto"/>
            </w:tcBorders>
            <w:shd w:val="clear" w:color="000000" w:fill="FFFFFF"/>
            <w:noWrap/>
            <w:vAlign w:val="center"/>
            <w:hideMark/>
          </w:tcPr>
          <w:p w14:paraId="14CB65C9" w14:textId="35D91FA4" w:rsidR="00EC2495" w:rsidRPr="00F66278" w:rsidRDefault="00EC2495" w:rsidP="00EC2495">
            <w:pPr>
              <w:jc w:val="center"/>
              <w:rPr>
                <w:rFonts w:cs="Calibri"/>
                <w:color w:val="172B4D"/>
              </w:rPr>
            </w:pPr>
            <w:r w:rsidRPr="00F66278">
              <w:rPr>
                <w:rFonts w:cs="Calibri"/>
                <w:color w:val="172B4D"/>
              </w:rPr>
              <w:t>2</w:t>
            </w:r>
            <w:r w:rsidR="00AE0C8C">
              <w:rPr>
                <w:rFonts w:cs="Calibri"/>
                <w:color w:val="172B4D"/>
              </w:rPr>
              <w:t>.</w:t>
            </w:r>
            <w:r w:rsidRPr="00F66278">
              <w:rPr>
                <w:rFonts w:cs="Calibri"/>
                <w:color w:val="172B4D"/>
              </w:rPr>
              <w:t>7</w:t>
            </w:r>
          </w:p>
        </w:tc>
        <w:tc>
          <w:tcPr>
            <w:tcW w:w="587" w:type="pct"/>
            <w:tcBorders>
              <w:top w:val="nil"/>
              <w:left w:val="nil"/>
              <w:bottom w:val="single" w:sz="4" w:space="0" w:color="auto"/>
              <w:right w:val="single" w:sz="4" w:space="0" w:color="auto"/>
            </w:tcBorders>
            <w:shd w:val="clear" w:color="000000" w:fill="FFFFFF"/>
            <w:noWrap/>
            <w:vAlign w:val="center"/>
            <w:hideMark/>
          </w:tcPr>
          <w:p w14:paraId="5A0C8FA2" w14:textId="3990726F" w:rsidR="00EC2495" w:rsidRPr="00F66278" w:rsidRDefault="00EC2495" w:rsidP="00EC2495">
            <w:pPr>
              <w:jc w:val="center"/>
              <w:rPr>
                <w:rFonts w:cs="Calibri"/>
                <w:color w:val="172B4D"/>
              </w:rPr>
            </w:pPr>
            <w:r w:rsidRPr="00F66278">
              <w:rPr>
                <w:rFonts w:cs="Calibri"/>
                <w:color w:val="172B4D"/>
              </w:rPr>
              <w:t>2</w:t>
            </w:r>
            <w:r w:rsidR="00AE0C8C">
              <w:rPr>
                <w:rFonts w:cs="Calibri"/>
                <w:color w:val="172B4D"/>
              </w:rPr>
              <w:t>.</w:t>
            </w:r>
            <w:r w:rsidRPr="00F66278">
              <w:rPr>
                <w:rFonts w:cs="Calibri"/>
                <w:color w:val="172B4D"/>
              </w:rPr>
              <w:t>6</w:t>
            </w:r>
          </w:p>
        </w:tc>
      </w:tr>
      <w:tr w:rsidR="00EC2495" w:rsidRPr="00197137" w14:paraId="521A56B4" w14:textId="77777777" w:rsidTr="00EC2495">
        <w:trPr>
          <w:trHeight w:val="750"/>
        </w:trPr>
        <w:tc>
          <w:tcPr>
            <w:tcW w:w="1475" w:type="pct"/>
            <w:tcBorders>
              <w:top w:val="nil"/>
              <w:left w:val="single" w:sz="4" w:space="0" w:color="auto"/>
              <w:bottom w:val="single" w:sz="4" w:space="0" w:color="auto"/>
              <w:right w:val="single" w:sz="4" w:space="0" w:color="auto"/>
            </w:tcBorders>
            <w:shd w:val="clear" w:color="000000" w:fill="FFFFFF"/>
            <w:vAlign w:val="center"/>
            <w:hideMark/>
          </w:tcPr>
          <w:p w14:paraId="260C90E1"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Plant and machine operators, and assemblers</w:t>
            </w:r>
          </w:p>
        </w:tc>
        <w:tc>
          <w:tcPr>
            <w:tcW w:w="587" w:type="pct"/>
            <w:tcBorders>
              <w:top w:val="nil"/>
              <w:left w:val="nil"/>
              <w:bottom w:val="single" w:sz="4" w:space="0" w:color="auto"/>
              <w:right w:val="single" w:sz="4" w:space="0" w:color="auto"/>
            </w:tcBorders>
            <w:shd w:val="clear" w:color="000000" w:fill="FFFFFF"/>
            <w:noWrap/>
            <w:vAlign w:val="center"/>
            <w:hideMark/>
          </w:tcPr>
          <w:p w14:paraId="4B1EC5EE" w14:textId="37212952" w:rsidR="00EC2495" w:rsidRPr="00F66278" w:rsidRDefault="00EC2495" w:rsidP="00EC2495">
            <w:pPr>
              <w:jc w:val="center"/>
              <w:rPr>
                <w:rFonts w:cs="Calibri"/>
                <w:color w:val="172B4D"/>
              </w:rPr>
            </w:pPr>
            <w:r w:rsidRPr="00F66278">
              <w:rPr>
                <w:rFonts w:cs="Calibri"/>
                <w:color w:val="172B4D"/>
              </w:rPr>
              <w:t>8</w:t>
            </w:r>
            <w:r w:rsidR="00AE0C8C">
              <w:rPr>
                <w:rFonts w:cs="Calibri"/>
                <w:color w:val="172B4D"/>
              </w:rPr>
              <w:t>.</w:t>
            </w:r>
            <w:r w:rsidRPr="00F66278">
              <w:rPr>
                <w:rFonts w:cs="Calibri"/>
                <w:color w:val="172B4D"/>
              </w:rPr>
              <w:t>0</w:t>
            </w:r>
          </w:p>
        </w:tc>
        <w:tc>
          <w:tcPr>
            <w:tcW w:w="587" w:type="pct"/>
            <w:tcBorders>
              <w:top w:val="nil"/>
              <w:left w:val="nil"/>
              <w:bottom w:val="single" w:sz="4" w:space="0" w:color="auto"/>
              <w:right w:val="single" w:sz="4" w:space="0" w:color="auto"/>
            </w:tcBorders>
            <w:shd w:val="clear" w:color="000000" w:fill="FFFFFF"/>
            <w:noWrap/>
            <w:vAlign w:val="center"/>
            <w:hideMark/>
          </w:tcPr>
          <w:p w14:paraId="769C0C28" w14:textId="0B1FCAA5" w:rsidR="00EC2495" w:rsidRPr="00F66278" w:rsidRDefault="00EC2495" w:rsidP="00EC2495">
            <w:pPr>
              <w:jc w:val="center"/>
              <w:rPr>
                <w:rFonts w:cs="Calibri"/>
                <w:color w:val="172B4D"/>
              </w:rPr>
            </w:pPr>
            <w:r w:rsidRPr="00F66278">
              <w:rPr>
                <w:rFonts w:cs="Calibri"/>
                <w:color w:val="172B4D"/>
              </w:rPr>
              <w:t>8</w:t>
            </w:r>
            <w:r w:rsidR="00AE0C8C">
              <w:rPr>
                <w:rFonts w:cs="Calibri"/>
                <w:color w:val="172B4D"/>
              </w:rPr>
              <w:t>.</w:t>
            </w:r>
            <w:r w:rsidRPr="00F66278">
              <w:rPr>
                <w:rFonts w:cs="Calibri"/>
                <w:color w:val="172B4D"/>
              </w:rPr>
              <w:t>1</w:t>
            </w:r>
          </w:p>
        </w:tc>
        <w:tc>
          <w:tcPr>
            <w:tcW w:w="587" w:type="pct"/>
            <w:tcBorders>
              <w:top w:val="nil"/>
              <w:left w:val="nil"/>
              <w:bottom w:val="single" w:sz="4" w:space="0" w:color="auto"/>
              <w:right w:val="single" w:sz="4" w:space="0" w:color="auto"/>
            </w:tcBorders>
            <w:shd w:val="clear" w:color="000000" w:fill="FFFFFF"/>
            <w:noWrap/>
            <w:vAlign w:val="center"/>
            <w:hideMark/>
          </w:tcPr>
          <w:p w14:paraId="5B8B4C6C" w14:textId="708AC713" w:rsidR="00EC2495" w:rsidRPr="00F66278" w:rsidRDefault="00EC2495" w:rsidP="00EC2495">
            <w:pPr>
              <w:jc w:val="center"/>
              <w:rPr>
                <w:rFonts w:cs="Calibri"/>
                <w:color w:val="172B4D"/>
              </w:rPr>
            </w:pPr>
            <w:r w:rsidRPr="00F66278">
              <w:rPr>
                <w:rFonts w:cs="Calibri"/>
                <w:color w:val="172B4D"/>
              </w:rPr>
              <w:t>8</w:t>
            </w:r>
            <w:r w:rsidR="00AE0C8C">
              <w:rPr>
                <w:rFonts w:cs="Calibri"/>
                <w:color w:val="172B4D"/>
              </w:rPr>
              <w:t>.</w:t>
            </w:r>
            <w:r w:rsidRPr="00F66278">
              <w:rPr>
                <w:rFonts w:cs="Calibri"/>
                <w:color w:val="172B4D"/>
              </w:rPr>
              <w:t>0</w:t>
            </w:r>
          </w:p>
        </w:tc>
        <w:tc>
          <w:tcPr>
            <w:tcW w:w="587" w:type="pct"/>
            <w:tcBorders>
              <w:top w:val="nil"/>
              <w:left w:val="nil"/>
              <w:bottom w:val="single" w:sz="4" w:space="0" w:color="auto"/>
              <w:right w:val="single" w:sz="4" w:space="0" w:color="auto"/>
            </w:tcBorders>
            <w:shd w:val="clear" w:color="000000" w:fill="FFFFFF"/>
            <w:noWrap/>
            <w:vAlign w:val="center"/>
            <w:hideMark/>
          </w:tcPr>
          <w:p w14:paraId="09FFA8AC" w14:textId="12B68AE8" w:rsidR="00EC2495" w:rsidRPr="00F66278" w:rsidRDefault="00EC2495" w:rsidP="00EC2495">
            <w:pPr>
              <w:jc w:val="center"/>
              <w:rPr>
                <w:rFonts w:cs="Calibri"/>
                <w:color w:val="172B4D"/>
              </w:rPr>
            </w:pPr>
            <w:r w:rsidRPr="00F66278">
              <w:rPr>
                <w:rFonts w:cs="Calibri"/>
                <w:color w:val="172B4D"/>
              </w:rPr>
              <w:t>8</w:t>
            </w:r>
            <w:r w:rsidR="00AE0C8C">
              <w:rPr>
                <w:rFonts w:cs="Calibri"/>
                <w:color w:val="172B4D"/>
              </w:rPr>
              <w:t>.</w:t>
            </w:r>
            <w:r w:rsidRPr="00F66278">
              <w:rPr>
                <w:rFonts w:cs="Calibri"/>
                <w:color w:val="172B4D"/>
              </w:rPr>
              <w:t>1</w:t>
            </w:r>
          </w:p>
        </w:tc>
        <w:tc>
          <w:tcPr>
            <w:tcW w:w="587" w:type="pct"/>
            <w:tcBorders>
              <w:top w:val="nil"/>
              <w:left w:val="nil"/>
              <w:bottom w:val="single" w:sz="4" w:space="0" w:color="auto"/>
              <w:right w:val="single" w:sz="4" w:space="0" w:color="auto"/>
            </w:tcBorders>
            <w:shd w:val="clear" w:color="000000" w:fill="FFFFFF"/>
            <w:noWrap/>
            <w:vAlign w:val="center"/>
            <w:hideMark/>
          </w:tcPr>
          <w:p w14:paraId="2FF6955E" w14:textId="73910A46" w:rsidR="00EC2495" w:rsidRPr="00F66278" w:rsidRDefault="00EC2495" w:rsidP="00EC2495">
            <w:pPr>
              <w:jc w:val="center"/>
              <w:rPr>
                <w:rFonts w:cs="Calibri"/>
                <w:color w:val="172B4D"/>
              </w:rPr>
            </w:pPr>
            <w:r w:rsidRPr="00F66278">
              <w:rPr>
                <w:rFonts w:cs="Calibri"/>
                <w:color w:val="172B4D"/>
              </w:rPr>
              <w:t>8</w:t>
            </w:r>
            <w:r w:rsidR="00AE0C8C">
              <w:rPr>
                <w:rFonts w:cs="Calibri"/>
                <w:color w:val="172B4D"/>
              </w:rPr>
              <w:t>.</w:t>
            </w:r>
            <w:r w:rsidRPr="00F66278">
              <w:rPr>
                <w:rFonts w:cs="Calibri"/>
                <w:color w:val="172B4D"/>
              </w:rPr>
              <w:t>4</w:t>
            </w:r>
          </w:p>
        </w:tc>
        <w:tc>
          <w:tcPr>
            <w:tcW w:w="587" w:type="pct"/>
            <w:tcBorders>
              <w:top w:val="nil"/>
              <w:left w:val="nil"/>
              <w:bottom w:val="single" w:sz="4" w:space="0" w:color="auto"/>
              <w:right w:val="single" w:sz="4" w:space="0" w:color="auto"/>
            </w:tcBorders>
            <w:shd w:val="clear" w:color="000000" w:fill="FFFFFF"/>
            <w:noWrap/>
            <w:vAlign w:val="center"/>
            <w:hideMark/>
          </w:tcPr>
          <w:p w14:paraId="21CD0A8C" w14:textId="3467B3A7" w:rsidR="00EC2495" w:rsidRPr="00F66278" w:rsidRDefault="00EC2495" w:rsidP="00EC2495">
            <w:pPr>
              <w:jc w:val="center"/>
              <w:rPr>
                <w:rFonts w:cs="Calibri"/>
                <w:color w:val="172B4D"/>
              </w:rPr>
            </w:pPr>
            <w:r w:rsidRPr="00F66278">
              <w:rPr>
                <w:rFonts w:cs="Calibri"/>
                <w:color w:val="172B4D"/>
              </w:rPr>
              <w:t>8</w:t>
            </w:r>
            <w:r w:rsidR="00AE0C8C">
              <w:rPr>
                <w:rFonts w:cs="Calibri"/>
                <w:color w:val="172B4D"/>
              </w:rPr>
              <w:t>.</w:t>
            </w:r>
            <w:r w:rsidRPr="00F66278">
              <w:rPr>
                <w:rFonts w:cs="Calibri"/>
                <w:color w:val="172B4D"/>
              </w:rPr>
              <w:t>0</w:t>
            </w:r>
          </w:p>
        </w:tc>
      </w:tr>
      <w:tr w:rsidR="00EC2495" w:rsidRPr="00197137" w14:paraId="39BEFEB2" w14:textId="77777777" w:rsidTr="00EC2495">
        <w:trPr>
          <w:trHeight w:val="375"/>
        </w:trPr>
        <w:tc>
          <w:tcPr>
            <w:tcW w:w="1475" w:type="pct"/>
            <w:tcBorders>
              <w:top w:val="nil"/>
              <w:left w:val="single" w:sz="4" w:space="0" w:color="auto"/>
              <w:bottom w:val="single" w:sz="4" w:space="0" w:color="auto"/>
              <w:right w:val="single" w:sz="4" w:space="0" w:color="auto"/>
            </w:tcBorders>
            <w:shd w:val="clear" w:color="000000" w:fill="FFFFFF"/>
            <w:noWrap/>
            <w:vAlign w:val="center"/>
            <w:hideMark/>
          </w:tcPr>
          <w:p w14:paraId="577D19EC"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Professionals</w:t>
            </w:r>
          </w:p>
        </w:tc>
        <w:tc>
          <w:tcPr>
            <w:tcW w:w="587" w:type="pct"/>
            <w:tcBorders>
              <w:top w:val="nil"/>
              <w:left w:val="nil"/>
              <w:bottom w:val="single" w:sz="4" w:space="0" w:color="auto"/>
              <w:right w:val="single" w:sz="4" w:space="0" w:color="auto"/>
            </w:tcBorders>
            <w:shd w:val="clear" w:color="000000" w:fill="FFFFFF"/>
            <w:noWrap/>
            <w:vAlign w:val="center"/>
            <w:hideMark/>
          </w:tcPr>
          <w:p w14:paraId="7558471A" w14:textId="59928DF0" w:rsidR="00EC2495" w:rsidRPr="00F66278" w:rsidRDefault="00EC2495" w:rsidP="00EC2495">
            <w:pPr>
              <w:jc w:val="center"/>
              <w:rPr>
                <w:rFonts w:cs="Calibri"/>
                <w:color w:val="172B4D"/>
              </w:rPr>
            </w:pPr>
            <w:r w:rsidRPr="00F66278">
              <w:rPr>
                <w:rFonts w:cs="Calibri"/>
                <w:color w:val="172B4D"/>
              </w:rPr>
              <w:t>14</w:t>
            </w:r>
            <w:r w:rsidR="00AE0C8C">
              <w:rPr>
                <w:rFonts w:cs="Calibri"/>
                <w:color w:val="172B4D"/>
              </w:rPr>
              <w:t>.</w:t>
            </w:r>
            <w:r w:rsidRPr="00F66278">
              <w:rPr>
                <w:rFonts w:cs="Calibri"/>
                <w:color w:val="172B4D"/>
              </w:rPr>
              <w:t>3</w:t>
            </w:r>
          </w:p>
        </w:tc>
        <w:tc>
          <w:tcPr>
            <w:tcW w:w="587" w:type="pct"/>
            <w:tcBorders>
              <w:top w:val="nil"/>
              <w:left w:val="nil"/>
              <w:bottom w:val="single" w:sz="4" w:space="0" w:color="auto"/>
              <w:right w:val="single" w:sz="4" w:space="0" w:color="auto"/>
            </w:tcBorders>
            <w:shd w:val="clear" w:color="000000" w:fill="FFFFFF"/>
            <w:noWrap/>
            <w:vAlign w:val="center"/>
            <w:hideMark/>
          </w:tcPr>
          <w:p w14:paraId="56AC9E84" w14:textId="781870C0" w:rsidR="00EC2495" w:rsidRPr="00F66278" w:rsidRDefault="00EC2495" w:rsidP="00EC2495">
            <w:pPr>
              <w:jc w:val="center"/>
              <w:rPr>
                <w:rFonts w:cs="Calibri"/>
                <w:color w:val="172B4D"/>
              </w:rPr>
            </w:pPr>
            <w:r w:rsidRPr="00F66278">
              <w:rPr>
                <w:rFonts w:cs="Calibri"/>
                <w:color w:val="172B4D"/>
              </w:rPr>
              <w:t>15</w:t>
            </w:r>
            <w:r w:rsidR="00AE0C8C">
              <w:rPr>
                <w:rFonts w:cs="Calibri"/>
                <w:color w:val="172B4D"/>
              </w:rPr>
              <w:t>.</w:t>
            </w:r>
            <w:r w:rsidRPr="00F66278">
              <w:rPr>
                <w:rFonts w:cs="Calibri"/>
                <w:color w:val="172B4D"/>
              </w:rPr>
              <w:t>0</w:t>
            </w:r>
          </w:p>
        </w:tc>
        <w:tc>
          <w:tcPr>
            <w:tcW w:w="587" w:type="pct"/>
            <w:tcBorders>
              <w:top w:val="nil"/>
              <w:left w:val="nil"/>
              <w:bottom w:val="single" w:sz="4" w:space="0" w:color="auto"/>
              <w:right w:val="single" w:sz="4" w:space="0" w:color="auto"/>
            </w:tcBorders>
            <w:shd w:val="clear" w:color="000000" w:fill="FFFFFF"/>
            <w:noWrap/>
            <w:vAlign w:val="center"/>
            <w:hideMark/>
          </w:tcPr>
          <w:p w14:paraId="374A0159" w14:textId="0FFAE028" w:rsidR="00EC2495" w:rsidRPr="00F66278" w:rsidRDefault="00EC2495" w:rsidP="00EC2495">
            <w:pPr>
              <w:jc w:val="center"/>
              <w:rPr>
                <w:rFonts w:cs="Calibri"/>
                <w:color w:val="172B4D"/>
              </w:rPr>
            </w:pPr>
            <w:r w:rsidRPr="00F66278">
              <w:rPr>
                <w:rFonts w:cs="Calibri"/>
                <w:color w:val="172B4D"/>
              </w:rPr>
              <w:t>15</w:t>
            </w:r>
            <w:r w:rsidR="00AE0C8C">
              <w:rPr>
                <w:rFonts w:cs="Calibri"/>
                <w:color w:val="172B4D"/>
              </w:rPr>
              <w:t>.</w:t>
            </w:r>
            <w:r w:rsidRPr="00F66278">
              <w:rPr>
                <w:rFonts w:cs="Calibri"/>
                <w:color w:val="172B4D"/>
              </w:rPr>
              <w:t>2</w:t>
            </w:r>
          </w:p>
        </w:tc>
        <w:tc>
          <w:tcPr>
            <w:tcW w:w="587" w:type="pct"/>
            <w:tcBorders>
              <w:top w:val="nil"/>
              <w:left w:val="nil"/>
              <w:bottom w:val="single" w:sz="4" w:space="0" w:color="auto"/>
              <w:right w:val="single" w:sz="4" w:space="0" w:color="auto"/>
            </w:tcBorders>
            <w:shd w:val="clear" w:color="000000" w:fill="FFFFFF"/>
            <w:noWrap/>
            <w:vAlign w:val="center"/>
            <w:hideMark/>
          </w:tcPr>
          <w:p w14:paraId="2D22938B" w14:textId="1A4A4C27" w:rsidR="00EC2495" w:rsidRPr="00F66278" w:rsidRDefault="00EC2495" w:rsidP="00EC2495">
            <w:pPr>
              <w:jc w:val="center"/>
              <w:rPr>
                <w:rFonts w:cs="Calibri"/>
                <w:color w:val="172B4D"/>
              </w:rPr>
            </w:pPr>
            <w:r w:rsidRPr="00F66278">
              <w:rPr>
                <w:rFonts w:cs="Calibri"/>
                <w:color w:val="172B4D"/>
              </w:rPr>
              <w:t>15</w:t>
            </w:r>
            <w:r w:rsidR="00AE0C8C">
              <w:rPr>
                <w:rFonts w:cs="Calibri"/>
                <w:color w:val="172B4D"/>
              </w:rPr>
              <w:t>.</w:t>
            </w:r>
            <w:r w:rsidRPr="00F66278">
              <w:rPr>
                <w:rFonts w:cs="Calibri"/>
                <w:color w:val="172B4D"/>
              </w:rPr>
              <w:t>2</w:t>
            </w:r>
          </w:p>
        </w:tc>
        <w:tc>
          <w:tcPr>
            <w:tcW w:w="587" w:type="pct"/>
            <w:tcBorders>
              <w:top w:val="nil"/>
              <w:left w:val="nil"/>
              <w:bottom w:val="single" w:sz="4" w:space="0" w:color="auto"/>
              <w:right w:val="single" w:sz="4" w:space="0" w:color="auto"/>
            </w:tcBorders>
            <w:shd w:val="clear" w:color="000000" w:fill="FFFFFF"/>
            <w:noWrap/>
            <w:vAlign w:val="center"/>
            <w:hideMark/>
          </w:tcPr>
          <w:p w14:paraId="2282F7AA" w14:textId="648E0FC2" w:rsidR="00EC2495" w:rsidRPr="00F66278" w:rsidRDefault="00EC2495" w:rsidP="00EC2495">
            <w:pPr>
              <w:jc w:val="center"/>
              <w:rPr>
                <w:rFonts w:cs="Calibri"/>
                <w:color w:val="172B4D"/>
              </w:rPr>
            </w:pPr>
            <w:r w:rsidRPr="00F66278">
              <w:rPr>
                <w:rFonts w:cs="Calibri"/>
                <w:color w:val="172B4D"/>
              </w:rPr>
              <w:t>14</w:t>
            </w:r>
            <w:r w:rsidR="00AE0C8C">
              <w:rPr>
                <w:rFonts w:cs="Calibri"/>
                <w:color w:val="172B4D"/>
              </w:rPr>
              <w:t>.</w:t>
            </w:r>
            <w:r w:rsidRPr="00F66278">
              <w:rPr>
                <w:rFonts w:cs="Calibri"/>
                <w:color w:val="172B4D"/>
              </w:rPr>
              <w:t>6</w:t>
            </w:r>
          </w:p>
        </w:tc>
        <w:tc>
          <w:tcPr>
            <w:tcW w:w="587" w:type="pct"/>
            <w:tcBorders>
              <w:top w:val="nil"/>
              <w:left w:val="nil"/>
              <w:bottom w:val="single" w:sz="4" w:space="0" w:color="auto"/>
              <w:right w:val="single" w:sz="4" w:space="0" w:color="auto"/>
            </w:tcBorders>
            <w:shd w:val="clear" w:color="000000" w:fill="FFFFFF"/>
            <w:noWrap/>
            <w:vAlign w:val="center"/>
            <w:hideMark/>
          </w:tcPr>
          <w:p w14:paraId="15640921" w14:textId="39AA8492" w:rsidR="00EC2495" w:rsidRPr="00F66278" w:rsidRDefault="00EC2495" w:rsidP="00EC2495">
            <w:pPr>
              <w:jc w:val="center"/>
              <w:rPr>
                <w:rFonts w:cs="Calibri"/>
                <w:color w:val="172B4D"/>
              </w:rPr>
            </w:pPr>
            <w:r w:rsidRPr="00F66278">
              <w:rPr>
                <w:rFonts w:cs="Calibri"/>
                <w:color w:val="172B4D"/>
              </w:rPr>
              <w:t>15</w:t>
            </w:r>
            <w:r w:rsidR="00AE0C8C">
              <w:rPr>
                <w:rFonts w:cs="Calibri"/>
                <w:color w:val="172B4D"/>
              </w:rPr>
              <w:t>.</w:t>
            </w:r>
            <w:r w:rsidRPr="00F66278">
              <w:rPr>
                <w:rFonts w:cs="Calibri"/>
                <w:color w:val="172B4D"/>
              </w:rPr>
              <w:t>3</w:t>
            </w:r>
          </w:p>
        </w:tc>
      </w:tr>
      <w:tr w:rsidR="00EC2495" w:rsidRPr="00197137" w14:paraId="4248E1FD" w14:textId="77777777" w:rsidTr="00EC2495">
        <w:trPr>
          <w:trHeight w:val="375"/>
        </w:trPr>
        <w:tc>
          <w:tcPr>
            <w:tcW w:w="1475" w:type="pct"/>
            <w:tcBorders>
              <w:top w:val="nil"/>
              <w:left w:val="single" w:sz="4" w:space="0" w:color="auto"/>
              <w:bottom w:val="single" w:sz="4" w:space="0" w:color="auto"/>
              <w:right w:val="single" w:sz="4" w:space="0" w:color="auto"/>
            </w:tcBorders>
            <w:shd w:val="clear" w:color="000000" w:fill="FFFFFF"/>
            <w:vAlign w:val="center"/>
            <w:hideMark/>
          </w:tcPr>
          <w:p w14:paraId="6F3DC5FB"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Service and sales workers</w:t>
            </w:r>
          </w:p>
        </w:tc>
        <w:tc>
          <w:tcPr>
            <w:tcW w:w="587" w:type="pct"/>
            <w:tcBorders>
              <w:top w:val="nil"/>
              <w:left w:val="nil"/>
              <w:bottom w:val="single" w:sz="4" w:space="0" w:color="auto"/>
              <w:right w:val="single" w:sz="4" w:space="0" w:color="auto"/>
            </w:tcBorders>
            <w:shd w:val="clear" w:color="000000" w:fill="FFFFFF"/>
            <w:noWrap/>
            <w:vAlign w:val="center"/>
            <w:hideMark/>
          </w:tcPr>
          <w:p w14:paraId="2FE12DCA" w14:textId="4367AECD" w:rsidR="00EC2495" w:rsidRPr="00F66278" w:rsidRDefault="00EC2495" w:rsidP="00EC2495">
            <w:pPr>
              <w:jc w:val="center"/>
              <w:rPr>
                <w:rFonts w:cs="Calibri"/>
                <w:color w:val="172B4D"/>
              </w:rPr>
            </w:pPr>
            <w:r w:rsidRPr="00F66278">
              <w:rPr>
                <w:rFonts w:cs="Calibri"/>
                <w:color w:val="172B4D"/>
              </w:rPr>
              <w:t>19</w:t>
            </w:r>
            <w:r w:rsidR="00AE0C8C">
              <w:rPr>
                <w:rFonts w:cs="Calibri"/>
                <w:color w:val="172B4D"/>
              </w:rPr>
              <w:t>.</w:t>
            </w:r>
            <w:r w:rsidRPr="00F66278">
              <w:rPr>
                <w:rFonts w:cs="Calibri"/>
                <w:color w:val="172B4D"/>
              </w:rPr>
              <w:t>8</w:t>
            </w:r>
          </w:p>
        </w:tc>
        <w:tc>
          <w:tcPr>
            <w:tcW w:w="587" w:type="pct"/>
            <w:tcBorders>
              <w:top w:val="nil"/>
              <w:left w:val="nil"/>
              <w:bottom w:val="single" w:sz="4" w:space="0" w:color="auto"/>
              <w:right w:val="single" w:sz="4" w:space="0" w:color="auto"/>
            </w:tcBorders>
            <w:shd w:val="clear" w:color="000000" w:fill="FFFFFF"/>
            <w:noWrap/>
            <w:vAlign w:val="center"/>
            <w:hideMark/>
          </w:tcPr>
          <w:p w14:paraId="6CA65EBE" w14:textId="3A2625DE" w:rsidR="00EC2495" w:rsidRPr="00F66278" w:rsidRDefault="00EC2495" w:rsidP="00EC2495">
            <w:pPr>
              <w:jc w:val="center"/>
              <w:rPr>
                <w:rFonts w:cs="Calibri"/>
                <w:color w:val="172B4D"/>
              </w:rPr>
            </w:pPr>
            <w:r w:rsidRPr="00F66278">
              <w:rPr>
                <w:rFonts w:cs="Calibri"/>
                <w:color w:val="172B4D"/>
              </w:rPr>
              <w:t>19</w:t>
            </w:r>
            <w:r w:rsidR="00AE0C8C">
              <w:rPr>
                <w:rFonts w:cs="Calibri"/>
                <w:color w:val="172B4D"/>
              </w:rPr>
              <w:t>.</w:t>
            </w:r>
            <w:r w:rsidRPr="00F66278">
              <w:rPr>
                <w:rFonts w:cs="Calibri"/>
                <w:color w:val="172B4D"/>
              </w:rPr>
              <w:t>0</w:t>
            </w:r>
          </w:p>
        </w:tc>
        <w:tc>
          <w:tcPr>
            <w:tcW w:w="587" w:type="pct"/>
            <w:tcBorders>
              <w:top w:val="nil"/>
              <w:left w:val="nil"/>
              <w:bottom w:val="single" w:sz="4" w:space="0" w:color="auto"/>
              <w:right w:val="single" w:sz="4" w:space="0" w:color="auto"/>
            </w:tcBorders>
            <w:shd w:val="clear" w:color="000000" w:fill="FFFFFF"/>
            <w:noWrap/>
            <w:vAlign w:val="center"/>
            <w:hideMark/>
          </w:tcPr>
          <w:p w14:paraId="458DA05A" w14:textId="3D0EDD4F" w:rsidR="00EC2495" w:rsidRPr="00F66278" w:rsidRDefault="00EC2495" w:rsidP="00EC2495">
            <w:pPr>
              <w:jc w:val="center"/>
              <w:rPr>
                <w:rFonts w:cs="Calibri"/>
                <w:color w:val="172B4D"/>
              </w:rPr>
            </w:pPr>
            <w:r w:rsidRPr="00F66278">
              <w:rPr>
                <w:rFonts w:cs="Calibri"/>
                <w:color w:val="172B4D"/>
              </w:rPr>
              <w:t>19</w:t>
            </w:r>
            <w:r w:rsidR="00AE0C8C">
              <w:rPr>
                <w:rFonts w:cs="Calibri"/>
                <w:color w:val="172B4D"/>
              </w:rPr>
              <w:t>.</w:t>
            </w:r>
            <w:r w:rsidRPr="00F66278">
              <w:rPr>
                <w:rFonts w:cs="Calibri"/>
                <w:color w:val="172B4D"/>
              </w:rPr>
              <w:t>1</w:t>
            </w:r>
          </w:p>
        </w:tc>
        <w:tc>
          <w:tcPr>
            <w:tcW w:w="587" w:type="pct"/>
            <w:tcBorders>
              <w:top w:val="nil"/>
              <w:left w:val="nil"/>
              <w:bottom w:val="single" w:sz="4" w:space="0" w:color="auto"/>
              <w:right w:val="single" w:sz="4" w:space="0" w:color="auto"/>
            </w:tcBorders>
            <w:shd w:val="clear" w:color="000000" w:fill="FFFFFF"/>
            <w:noWrap/>
            <w:vAlign w:val="center"/>
            <w:hideMark/>
          </w:tcPr>
          <w:p w14:paraId="654D63F3" w14:textId="6B94E337" w:rsidR="00EC2495" w:rsidRPr="00F66278" w:rsidRDefault="00EC2495" w:rsidP="00EC2495">
            <w:pPr>
              <w:jc w:val="center"/>
              <w:rPr>
                <w:rFonts w:cs="Calibri"/>
                <w:color w:val="172B4D"/>
              </w:rPr>
            </w:pPr>
            <w:r w:rsidRPr="00F66278">
              <w:rPr>
                <w:rFonts w:cs="Calibri"/>
                <w:color w:val="172B4D"/>
              </w:rPr>
              <w:t>19</w:t>
            </w:r>
            <w:r w:rsidR="00AE0C8C">
              <w:rPr>
                <w:rFonts w:cs="Calibri"/>
                <w:color w:val="172B4D"/>
              </w:rPr>
              <w:t>.</w:t>
            </w:r>
            <w:r w:rsidRPr="00F66278">
              <w:rPr>
                <w:rFonts w:cs="Calibri"/>
                <w:color w:val="172B4D"/>
              </w:rPr>
              <w:t>4</w:t>
            </w:r>
          </w:p>
        </w:tc>
        <w:tc>
          <w:tcPr>
            <w:tcW w:w="587" w:type="pct"/>
            <w:tcBorders>
              <w:top w:val="nil"/>
              <w:left w:val="nil"/>
              <w:bottom w:val="single" w:sz="4" w:space="0" w:color="auto"/>
              <w:right w:val="single" w:sz="4" w:space="0" w:color="auto"/>
            </w:tcBorders>
            <w:shd w:val="clear" w:color="000000" w:fill="FFFFFF"/>
            <w:noWrap/>
            <w:vAlign w:val="center"/>
            <w:hideMark/>
          </w:tcPr>
          <w:p w14:paraId="65005783" w14:textId="55F046B0" w:rsidR="00EC2495" w:rsidRPr="00F66278" w:rsidRDefault="00EC2495" w:rsidP="00EC2495">
            <w:pPr>
              <w:jc w:val="center"/>
              <w:rPr>
                <w:rFonts w:cs="Calibri"/>
                <w:color w:val="172B4D"/>
              </w:rPr>
            </w:pPr>
            <w:r w:rsidRPr="00F66278">
              <w:rPr>
                <w:rFonts w:cs="Calibri"/>
                <w:color w:val="172B4D"/>
              </w:rPr>
              <w:t>19</w:t>
            </w:r>
            <w:r w:rsidR="00AE0C8C">
              <w:rPr>
                <w:rFonts w:cs="Calibri"/>
                <w:color w:val="172B4D"/>
              </w:rPr>
              <w:t>.</w:t>
            </w:r>
            <w:r w:rsidRPr="00F66278">
              <w:rPr>
                <w:rFonts w:cs="Calibri"/>
                <w:color w:val="172B4D"/>
              </w:rPr>
              <w:t>9</w:t>
            </w:r>
          </w:p>
        </w:tc>
        <w:tc>
          <w:tcPr>
            <w:tcW w:w="587" w:type="pct"/>
            <w:tcBorders>
              <w:top w:val="nil"/>
              <w:left w:val="nil"/>
              <w:bottom w:val="single" w:sz="4" w:space="0" w:color="auto"/>
              <w:right w:val="single" w:sz="4" w:space="0" w:color="auto"/>
            </w:tcBorders>
            <w:shd w:val="clear" w:color="000000" w:fill="FFFFFF"/>
            <w:noWrap/>
            <w:vAlign w:val="center"/>
            <w:hideMark/>
          </w:tcPr>
          <w:p w14:paraId="592A2E8E" w14:textId="62DEE755" w:rsidR="00EC2495" w:rsidRPr="00F66278" w:rsidRDefault="00EC2495" w:rsidP="00EC2495">
            <w:pPr>
              <w:jc w:val="center"/>
              <w:rPr>
                <w:rFonts w:cs="Calibri"/>
                <w:color w:val="172B4D"/>
              </w:rPr>
            </w:pPr>
            <w:r w:rsidRPr="00F66278">
              <w:rPr>
                <w:rFonts w:cs="Calibri"/>
                <w:color w:val="172B4D"/>
              </w:rPr>
              <w:t>19</w:t>
            </w:r>
            <w:r w:rsidR="00AE0C8C">
              <w:rPr>
                <w:rFonts w:cs="Calibri"/>
                <w:color w:val="172B4D"/>
              </w:rPr>
              <w:t>.</w:t>
            </w:r>
            <w:r w:rsidRPr="00F66278">
              <w:rPr>
                <w:rFonts w:cs="Calibri"/>
                <w:color w:val="172B4D"/>
              </w:rPr>
              <w:t>1</w:t>
            </w:r>
          </w:p>
        </w:tc>
      </w:tr>
      <w:tr w:rsidR="00EC2495" w:rsidRPr="00197137" w14:paraId="0CCE80EE" w14:textId="77777777" w:rsidTr="00EC2495">
        <w:trPr>
          <w:trHeight w:val="750"/>
        </w:trPr>
        <w:tc>
          <w:tcPr>
            <w:tcW w:w="1475" w:type="pct"/>
            <w:tcBorders>
              <w:top w:val="nil"/>
              <w:left w:val="single" w:sz="4" w:space="0" w:color="auto"/>
              <w:bottom w:val="single" w:sz="4" w:space="0" w:color="auto"/>
              <w:right w:val="single" w:sz="4" w:space="0" w:color="auto"/>
            </w:tcBorders>
            <w:shd w:val="clear" w:color="000000" w:fill="FFFFFF"/>
            <w:vAlign w:val="center"/>
            <w:hideMark/>
          </w:tcPr>
          <w:p w14:paraId="0112900A"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Technicians and associate professionals</w:t>
            </w:r>
          </w:p>
        </w:tc>
        <w:tc>
          <w:tcPr>
            <w:tcW w:w="587" w:type="pct"/>
            <w:tcBorders>
              <w:top w:val="nil"/>
              <w:left w:val="nil"/>
              <w:bottom w:val="single" w:sz="4" w:space="0" w:color="auto"/>
              <w:right w:val="single" w:sz="4" w:space="0" w:color="auto"/>
            </w:tcBorders>
            <w:shd w:val="clear" w:color="000000" w:fill="FFFFFF"/>
            <w:noWrap/>
            <w:vAlign w:val="center"/>
            <w:hideMark/>
          </w:tcPr>
          <w:p w14:paraId="402C7D0A" w14:textId="4E065652" w:rsidR="00EC2495" w:rsidRPr="00F66278" w:rsidRDefault="00EC2495" w:rsidP="00EC2495">
            <w:pPr>
              <w:jc w:val="center"/>
              <w:rPr>
                <w:rFonts w:cs="Calibri"/>
                <w:color w:val="172B4D"/>
              </w:rPr>
            </w:pPr>
            <w:r w:rsidRPr="00F66278">
              <w:rPr>
                <w:rFonts w:cs="Calibri"/>
                <w:color w:val="172B4D"/>
              </w:rPr>
              <w:t>18</w:t>
            </w:r>
            <w:r w:rsidR="00AE0C8C">
              <w:rPr>
                <w:rFonts w:cs="Calibri"/>
                <w:color w:val="172B4D"/>
              </w:rPr>
              <w:t>.</w:t>
            </w:r>
            <w:r w:rsidRPr="00F66278">
              <w:rPr>
                <w:rFonts w:cs="Calibri"/>
                <w:color w:val="172B4D"/>
              </w:rPr>
              <w:t>0</w:t>
            </w:r>
          </w:p>
        </w:tc>
        <w:tc>
          <w:tcPr>
            <w:tcW w:w="587" w:type="pct"/>
            <w:tcBorders>
              <w:top w:val="nil"/>
              <w:left w:val="nil"/>
              <w:bottom w:val="single" w:sz="4" w:space="0" w:color="auto"/>
              <w:right w:val="single" w:sz="4" w:space="0" w:color="auto"/>
            </w:tcBorders>
            <w:shd w:val="clear" w:color="000000" w:fill="FFFFFF"/>
            <w:noWrap/>
            <w:vAlign w:val="center"/>
            <w:hideMark/>
          </w:tcPr>
          <w:p w14:paraId="05C5C553" w14:textId="499127EB" w:rsidR="00EC2495" w:rsidRPr="00F66278" w:rsidRDefault="00EC2495" w:rsidP="00EC2495">
            <w:pPr>
              <w:jc w:val="center"/>
              <w:rPr>
                <w:rFonts w:cs="Calibri"/>
                <w:color w:val="172B4D"/>
              </w:rPr>
            </w:pPr>
            <w:r w:rsidRPr="00F66278">
              <w:rPr>
                <w:rFonts w:cs="Calibri"/>
                <w:color w:val="172B4D"/>
              </w:rPr>
              <w:t>17</w:t>
            </w:r>
            <w:r w:rsidR="00AE0C8C">
              <w:rPr>
                <w:rFonts w:cs="Calibri"/>
                <w:color w:val="172B4D"/>
              </w:rPr>
              <w:t>.</w:t>
            </w:r>
            <w:r w:rsidRPr="00F66278">
              <w:rPr>
                <w:rFonts w:cs="Calibri"/>
                <w:color w:val="172B4D"/>
              </w:rPr>
              <w:t>9</w:t>
            </w:r>
          </w:p>
        </w:tc>
        <w:tc>
          <w:tcPr>
            <w:tcW w:w="587" w:type="pct"/>
            <w:tcBorders>
              <w:top w:val="nil"/>
              <w:left w:val="nil"/>
              <w:bottom w:val="single" w:sz="4" w:space="0" w:color="auto"/>
              <w:right w:val="single" w:sz="4" w:space="0" w:color="auto"/>
            </w:tcBorders>
            <w:shd w:val="clear" w:color="000000" w:fill="FFFFFF"/>
            <w:noWrap/>
            <w:vAlign w:val="center"/>
            <w:hideMark/>
          </w:tcPr>
          <w:p w14:paraId="0F2FB42F" w14:textId="23AB771A" w:rsidR="00EC2495" w:rsidRPr="00F66278" w:rsidRDefault="00EC2495" w:rsidP="00EC2495">
            <w:pPr>
              <w:jc w:val="center"/>
              <w:rPr>
                <w:rFonts w:cs="Calibri"/>
                <w:color w:val="172B4D"/>
              </w:rPr>
            </w:pPr>
            <w:r w:rsidRPr="00F66278">
              <w:rPr>
                <w:rFonts w:cs="Calibri"/>
                <w:color w:val="172B4D"/>
              </w:rPr>
              <w:t>18</w:t>
            </w:r>
            <w:r w:rsidR="00AE0C8C">
              <w:rPr>
                <w:rFonts w:cs="Calibri"/>
                <w:color w:val="172B4D"/>
              </w:rPr>
              <w:t>.</w:t>
            </w:r>
            <w:r w:rsidRPr="00F66278">
              <w:rPr>
                <w:rFonts w:cs="Calibri"/>
                <w:color w:val="172B4D"/>
              </w:rPr>
              <w:t>1</w:t>
            </w:r>
          </w:p>
        </w:tc>
        <w:tc>
          <w:tcPr>
            <w:tcW w:w="587" w:type="pct"/>
            <w:tcBorders>
              <w:top w:val="nil"/>
              <w:left w:val="nil"/>
              <w:bottom w:val="single" w:sz="4" w:space="0" w:color="auto"/>
              <w:right w:val="single" w:sz="4" w:space="0" w:color="auto"/>
            </w:tcBorders>
            <w:shd w:val="clear" w:color="000000" w:fill="FFFFFF"/>
            <w:noWrap/>
            <w:vAlign w:val="center"/>
            <w:hideMark/>
          </w:tcPr>
          <w:p w14:paraId="342016F0" w14:textId="4B1735D1" w:rsidR="00EC2495" w:rsidRPr="00F66278" w:rsidRDefault="00EC2495" w:rsidP="00EC2495">
            <w:pPr>
              <w:jc w:val="center"/>
              <w:rPr>
                <w:rFonts w:cs="Calibri"/>
                <w:color w:val="172B4D"/>
              </w:rPr>
            </w:pPr>
            <w:r w:rsidRPr="00F66278">
              <w:rPr>
                <w:rFonts w:cs="Calibri"/>
                <w:color w:val="172B4D"/>
              </w:rPr>
              <w:t>18</w:t>
            </w:r>
            <w:r w:rsidR="00AE0C8C">
              <w:rPr>
                <w:rFonts w:cs="Calibri"/>
                <w:color w:val="172B4D"/>
              </w:rPr>
              <w:t>.</w:t>
            </w:r>
            <w:r w:rsidRPr="00F66278">
              <w:rPr>
                <w:rFonts w:cs="Calibri"/>
                <w:color w:val="172B4D"/>
              </w:rPr>
              <w:t>0</w:t>
            </w:r>
          </w:p>
        </w:tc>
        <w:tc>
          <w:tcPr>
            <w:tcW w:w="587" w:type="pct"/>
            <w:tcBorders>
              <w:top w:val="nil"/>
              <w:left w:val="nil"/>
              <w:bottom w:val="single" w:sz="4" w:space="0" w:color="auto"/>
              <w:right w:val="single" w:sz="4" w:space="0" w:color="auto"/>
            </w:tcBorders>
            <w:shd w:val="clear" w:color="000000" w:fill="FFFFFF"/>
            <w:noWrap/>
            <w:vAlign w:val="center"/>
            <w:hideMark/>
          </w:tcPr>
          <w:p w14:paraId="4E1CC0F1" w14:textId="2A78B24F" w:rsidR="00EC2495" w:rsidRPr="00F66278" w:rsidRDefault="00EC2495" w:rsidP="00EC2495">
            <w:pPr>
              <w:jc w:val="center"/>
              <w:rPr>
                <w:rFonts w:cs="Calibri"/>
                <w:color w:val="172B4D"/>
              </w:rPr>
            </w:pPr>
            <w:r w:rsidRPr="00F66278">
              <w:rPr>
                <w:rFonts w:cs="Calibri"/>
                <w:color w:val="172B4D"/>
              </w:rPr>
              <w:t>17</w:t>
            </w:r>
            <w:r w:rsidR="00AE0C8C">
              <w:rPr>
                <w:rFonts w:cs="Calibri"/>
                <w:color w:val="172B4D"/>
              </w:rPr>
              <w:t>.</w:t>
            </w:r>
            <w:r w:rsidRPr="00F66278">
              <w:rPr>
                <w:rFonts w:cs="Calibri"/>
                <w:color w:val="172B4D"/>
              </w:rPr>
              <w:t>9</w:t>
            </w:r>
          </w:p>
        </w:tc>
        <w:tc>
          <w:tcPr>
            <w:tcW w:w="587" w:type="pct"/>
            <w:tcBorders>
              <w:top w:val="nil"/>
              <w:left w:val="nil"/>
              <w:bottom w:val="single" w:sz="4" w:space="0" w:color="auto"/>
              <w:right w:val="single" w:sz="4" w:space="0" w:color="auto"/>
            </w:tcBorders>
            <w:shd w:val="clear" w:color="000000" w:fill="FFFFFF"/>
            <w:noWrap/>
            <w:vAlign w:val="center"/>
            <w:hideMark/>
          </w:tcPr>
          <w:p w14:paraId="4022A987" w14:textId="5C8752E9" w:rsidR="00EC2495" w:rsidRPr="00F66278" w:rsidRDefault="00EC2495" w:rsidP="00EC2495">
            <w:pPr>
              <w:jc w:val="center"/>
              <w:rPr>
                <w:rFonts w:cs="Calibri"/>
                <w:color w:val="172B4D"/>
              </w:rPr>
            </w:pPr>
            <w:r w:rsidRPr="00F66278">
              <w:rPr>
                <w:rFonts w:cs="Calibri"/>
                <w:color w:val="172B4D"/>
              </w:rPr>
              <w:t>18</w:t>
            </w:r>
            <w:r w:rsidR="00AE0C8C">
              <w:rPr>
                <w:rFonts w:cs="Calibri"/>
                <w:color w:val="172B4D"/>
              </w:rPr>
              <w:t>.</w:t>
            </w:r>
            <w:r w:rsidRPr="00F66278">
              <w:rPr>
                <w:rFonts w:cs="Calibri"/>
                <w:color w:val="172B4D"/>
              </w:rPr>
              <w:t>0</w:t>
            </w:r>
          </w:p>
        </w:tc>
      </w:tr>
      <w:tr w:rsidR="00EC2495" w:rsidRPr="00197137" w14:paraId="626A7C8D" w14:textId="77777777" w:rsidTr="00EC2495">
        <w:trPr>
          <w:trHeight w:val="375"/>
        </w:trPr>
        <w:tc>
          <w:tcPr>
            <w:tcW w:w="1475" w:type="pct"/>
            <w:tcBorders>
              <w:top w:val="nil"/>
              <w:left w:val="single" w:sz="4" w:space="0" w:color="auto"/>
              <w:bottom w:val="single" w:sz="4" w:space="0" w:color="auto"/>
              <w:right w:val="single" w:sz="4" w:space="0" w:color="auto"/>
            </w:tcBorders>
            <w:shd w:val="clear" w:color="000000" w:fill="FFFFFF"/>
            <w:vAlign w:val="center"/>
            <w:hideMark/>
          </w:tcPr>
          <w:p w14:paraId="6934D89D" w14:textId="77777777" w:rsidR="00EC2495" w:rsidRPr="00F66278" w:rsidRDefault="00EC2495" w:rsidP="00EC2495">
            <w:pPr>
              <w:spacing w:after="0" w:line="240" w:lineRule="auto"/>
              <w:rPr>
                <w:rFonts w:eastAsia="Times New Roman" w:cs="Calibri"/>
                <w:b/>
                <w:color w:val="172B4D"/>
                <w:lang w:eastAsia="it-IT"/>
              </w:rPr>
            </w:pPr>
            <w:r w:rsidRPr="00F66278">
              <w:rPr>
                <w:rFonts w:eastAsia="Times New Roman" w:cs="Calibri"/>
                <w:b/>
                <w:color w:val="172B4D"/>
                <w:lang w:eastAsia="it-IT"/>
              </w:rPr>
              <w:t>Total</w:t>
            </w:r>
          </w:p>
        </w:tc>
        <w:tc>
          <w:tcPr>
            <w:tcW w:w="587" w:type="pct"/>
            <w:tcBorders>
              <w:top w:val="nil"/>
              <w:left w:val="nil"/>
              <w:bottom w:val="single" w:sz="4" w:space="0" w:color="auto"/>
              <w:right w:val="single" w:sz="4" w:space="0" w:color="auto"/>
            </w:tcBorders>
            <w:shd w:val="clear" w:color="000000" w:fill="FFFFFF"/>
            <w:noWrap/>
            <w:vAlign w:val="center"/>
            <w:hideMark/>
          </w:tcPr>
          <w:p w14:paraId="2B66FB0B" w14:textId="512F5C21" w:rsidR="00EC2495" w:rsidRPr="00F66278" w:rsidRDefault="00EC2495" w:rsidP="00EC2495">
            <w:pPr>
              <w:jc w:val="center"/>
              <w:rPr>
                <w:rFonts w:cs="Calibri"/>
                <w:b/>
                <w:color w:val="172B4D"/>
              </w:rPr>
            </w:pPr>
            <w:r w:rsidRPr="00F66278">
              <w:rPr>
                <w:rFonts w:cs="Calibri"/>
                <w:b/>
                <w:color w:val="172B4D"/>
              </w:rPr>
              <w:t>100</w:t>
            </w:r>
            <w:r w:rsidR="00AE0C8C">
              <w:rPr>
                <w:rFonts w:cs="Calibri"/>
                <w:b/>
                <w:color w:val="172B4D"/>
              </w:rPr>
              <w:t>.</w:t>
            </w:r>
            <w:r w:rsidRPr="00F66278">
              <w:rPr>
                <w:rFonts w:cs="Calibri"/>
                <w:b/>
                <w:color w:val="172B4D"/>
              </w:rPr>
              <w:t>0</w:t>
            </w:r>
          </w:p>
        </w:tc>
        <w:tc>
          <w:tcPr>
            <w:tcW w:w="587" w:type="pct"/>
            <w:tcBorders>
              <w:top w:val="nil"/>
              <w:left w:val="nil"/>
              <w:bottom w:val="single" w:sz="4" w:space="0" w:color="auto"/>
              <w:right w:val="single" w:sz="4" w:space="0" w:color="auto"/>
            </w:tcBorders>
            <w:shd w:val="clear" w:color="000000" w:fill="FFFFFF"/>
            <w:noWrap/>
            <w:vAlign w:val="center"/>
            <w:hideMark/>
          </w:tcPr>
          <w:p w14:paraId="28B9A013" w14:textId="6D67D71E" w:rsidR="00EC2495" w:rsidRPr="00F66278" w:rsidRDefault="00EC2495" w:rsidP="00EC2495">
            <w:pPr>
              <w:jc w:val="center"/>
              <w:rPr>
                <w:rFonts w:cs="Calibri"/>
                <w:b/>
                <w:color w:val="172B4D"/>
              </w:rPr>
            </w:pPr>
            <w:r w:rsidRPr="00F66278">
              <w:rPr>
                <w:rFonts w:cs="Calibri"/>
                <w:b/>
                <w:color w:val="172B4D"/>
              </w:rPr>
              <w:t>100</w:t>
            </w:r>
            <w:r w:rsidR="00AE0C8C">
              <w:rPr>
                <w:rFonts w:cs="Calibri"/>
                <w:b/>
                <w:color w:val="172B4D"/>
              </w:rPr>
              <w:t>.</w:t>
            </w:r>
            <w:r w:rsidRPr="00F66278">
              <w:rPr>
                <w:rFonts w:cs="Calibri"/>
                <w:b/>
                <w:color w:val="172B4D"/>
              </w:rPr>
              <w:t>0</w:t>
            </w:r>
          </w:p>
        </w:tc>
        <w:tc>
          <w:tcPr>
            <w:tcW w:w="587" w:type="pct"/>
            <w:tcBorders>
              <w:top w:val="nil"/>
              <w:left w:val="nil"/>
              <w:bottom w:val="single" w:sz="4" w:space="0" w:color="auto"/>
              <w:right w:val="single" w:sz="4" w:space="0" w:color="auto"/>
            </w:tcBorders>
            <w:shd w:val="clear" w:color="000000" w:fill="FFFFFF"/>
            <w:noWrap/>
            <w:vAlign w:val="center"/>
            <w:hideMark/>
          </w:tcPr>
          <w:p w14:paraId="743ED2E3" w14:textId="7FA8CA4C" w:rsidR="00EC2495" w:rsidRPr="00F66278" w:rsidRDefault="00EC2495" w:rsidP="00EC2495">
            <w:pPr>
              <w:jc w:val="center"/>
              <w:rPr>
                <w:rFonts w:cs="Calibri"/>
                <w:b/>
                <w:color w:val="172B4D"/>
              </w:rPr>
            </w:pPr>
            <w:r w:rsidRPr="00F66278">
              <w:rPr>
                <w:rFonts w:cs="Calibri"/>
                <w:b/>
                <w:color w:val="172B4D"/>
              </w:rPr>
              <w:t>100</w:t>
            </w:r>
            <w:r w:rsidR="00AE0C8C">
              <w:rPr>
                <w:rFonts w:cs="Calibri"/>
                <w:b/>
                <w:color w:val="172B4D"/>
              </w:rPr>
              <w:t>.</w:t>
            </w:r>
            <w:r w:rsidRPr="00F66278">
              <w:rPr>
                <w:rFonts w:cs="Calibri"/>
                <w:b/>
                <w:color w:val="172B4D"/>
              </w:rPr>
              <w:t>0</w:t>
            </w:r>
          </w:p>
        </w:tc>
        <w:tc>
          <w:tcPr>
            <w:tcW w:w="587" w:type="pct"/>
            <w:tcBorders>
              <w:top w:val="nil"/>
              <w:left w:val="nil"/>
              <w:bottom w:val="single" w:sz="4" w:space="0" w:color="auto"/>
              <w:right w:val="single" w:sz="4" w:space="0" w:color="auto"/>
            </w:tcBorders>
            <w:shd w:val="clear" w:color="000000" w:fill="FFFFFF"/>
            <w:noWrap/>
            <w:vAlign w:val="center"/>
            <w:hideMark/>
          </w:tcPr>
          <w:p w14:paraId="292D5470" w14:textId="1E7CC43E" w:rsidR="00EC2495" w:rsidRPr="00F66278" w:rsidRDefault="00EC2495" w:rsidP="00EC2495">
            <w:pPr>
              <w:jc w:val="center"/>
              <w:rPr>
                <w:rFonts w:cs="Calibri"/>
                <w:b/>
                <w:color w:val="172B4D"/>
              </w:rPr>
            </w:pPr>
            <w:r w:rsidRPr="00F66278">
              <w:rPr>
                <w:rFonts w:cs="Calibri"/>
                <w:b/>
                <w:color w:val="172B4D"/>
              </w:rPr>
              <w:t>100</w:t>
            </w:r>
            <w:r w:rsidR="00AE0C8C">
              <w:rPr>
                <w:rFonts w:cs="Calibri"/>
                <w:b/>
                <w:color w:val="172B4D"/>
              </w:rPr>
              <w:t>.</w:t>
            </w:r>
            <w:r w:rsidRPr="00F66278">
              <w:rPr>
                <w:rFonts w:cs="Calibri"/>
                <w:b/>
                <w:color w:val="172B4D"/>
              </w:rPr>
              <w:t>0</w:t>
            </w:r>
          </w:p>
        </w:tc>
        <w:tc>
          <w:tcPr>
            <w:tcW w:w="587" w:type="pct"/>
            <w:tcBorders>
              <w:top w:val="nil"/>
              <w:left w:val="nil"/>
              <w:bottom w:val="single" w:sz="4" w:space="0" w:color="auto"/>
              <w:right w:val="single" w:sz="4" w:space="0" w:color="auto"/>
            </w:tcBorders>
            <w:shd w:val="clear" w:color="000000" w:fill="FFFFFF"/>
            <w:noWrap/>
            <w:vAlign w:val="center"/>
            <w:hideMark/>
          </w:tcPr>
          <w:p w14:paraId="4B0D1DD6" w14:textId="01507A2E" w:rsidR="00EC2495" w:rsidRPr="00F66278" w:rsidRDefault="00EC2495" w:rsidP="00EC2495">
            <w:pPr>
              <w:jc w:val="center"/>
              <w:rPr>
                <w:rFonts w:cs="Calibri"/>
                <w:b/>
                <w:color w:val="172B4D"/>
              </w:rPr>
            </w:pPr>
            <w:r w:rsidRPr="00F66278">
              <w:rPr>
                <w:rFonts w:cs="Calibri"/>
                <w:b/>
                <w:color w:val="172B4D"/>
              </w:rPr>
              <w:t>100</w:t>
            </w:r>
            <w:r w:rsidR="00AE0C8C">
              <w:rPr>
                <w:rFonts w:cs="Calibri"/>
                <w:b/>
                <w:color w:val="172B4D"/>
              </w:rPr>
              <w:t>.</w:t>
            </w:r>
            <w:r w:rsidRPr="00F66278">
              <w:rPr>
                <w:rFonts w:cs="Calibri"/>
                <w:b/>
                <w:color w:val="172B4D"/>
              </w:rPr>
              <w:t>0</w:t>
            </w:r>
          </w:p>
        </w:tc>
        <w:tc>
          <w:tcPr>
            <w:tcW w:w="587" w:type="pct"/>
            <w:tcBorders>
              <w:top w:val="nil"/>
              <w:left w:val="nil"/>
              <w:bottom w:val="single" w:sz="4" w:space="0" w:color="auto"/>
              <w:right w:val="single" w:sz="4" w:space="0" w:color="auto"/>
            </w:tcBorders>
            <w:shd w:val="clear" w:color="000000" w:fill="FFFFFF"/>
            <w:noWrap/>
            <w:vAlign w:val="center"/>
            <w:hideMark/>
          </w:tcPr>
          <w:p w14:paraId="513E69B7" w14:textId="52F85A1E" w:rsidR="00EC2495" w:rsidRPr="00F66278" w:rsidRDefault="00EC2495" w:rsidP="00EC2495">
            <w:pPr>
              <w:jc w:val="center"/>
              <w:rPr>
                <w:rFonts w:cs="Calibri"/>
                <w:b/>
                <w:color w:val="172B4D"/>
              </w:rPr>
            </w:pPr>
            <w:r w:rsidRPr="00F66278">
              <w:rPr>
                <w:rFonts w:cs="Calibri"/>
                <w:b/>
                <w:color w:val="172B4D"/>
              </w:rPr>
              <w:t>100</w:t>
            </w:r>
            <w:r w:rsidR="00AE0C8C">
              <w:rPr>
                <w:rFonts w:cs="Calibri"/>
                <w:b/>
                <w:color w:val="172B4D"/>
              </w:rPr>
              <w:t>.</w:t>
            </w:r>
            <w:r w:rsidRPr="00F66278">
              <w:rPr>
                <w:rFonts w:cs="Calibri"/>
                <w:b/>
                <w:color w:val="172B4D"/>
              </w:rPr>
              <w:t>0</w:t>
            </w:r>
          </w:p>
        </w:tc>
      </w:tr>
    </w:tbl>
    <w:p w14:paraId="49C987E1" w14:textId="77777777" w:rsidR="000F7068" w:rsidRDefault="000F7068" w:rsidP="00EC2495">
      <w:pPr>
        <w:jc w:val="both"/>
        <w:rPr>
          <w:rFonts w:ascii="Segoe UI" w:hAnsi="Segoe UI" w:cs="Segoe UI"/>
          <w:color w:val="172B4D"/>
          <w:sz w:val="21"/>
          <w:szCs w:val="21"/>
        </w:rPr>
      </w:pPr>
    </w:p>
    <w:p w14:paraId="2A391CB8" w14:textId="4DFD50AE" w:rsidR="00EC2495" w:rsidRPr="00E931DB" w:rsidRDefault="00EC2495" w:rsidP="00EC2495">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 xml:space="preserve">Indicating with </w:t>
      </w:r>
      <m:oMath>
        <m:sSub>
          <m:sSubPr>
            <m:ctrlPr>
              <w:rPr>
                <w:rFonts w:ascii="Cambria Math" w:hAnsi="Cambria Math" w:cs="Segoe UI"/>
                <w:color w:val="172B4D"/>
                <w:sz w:val="21"/>
                <w:szCs w:val="21"/>
                <w:lang w:val="en-US"/>
              </w:rPr>
            </m:ctrlPr>
          </m:sSubPr>
          <m:e>
            <m:r>
              <w:rPr>
                <w:rFonts w:ascii="Cambria Math" w:hAnsi="Cambria Math" w:cs="Segoe UI"/>
                <w:color w:val="172B4D"/>
                <w:sz w:val="21"/>
                <w:szCs w:val="21"/>
                <w:lang w:val="en-US"/>
              </w:rPr>
              <m:t>d</m:t>
            </m:r>
          </m:e>
          <m:sub>
            <m:r>
              <w:rPr>
                <w:rFonts w:ascii="Cambria Math" w:hAnsi="Cambria Math" w:cs="Segoe UI"/>
                <w:color w:val="172B4D"/>
                <w:sz w:val="21"/>
                <w:szCs w:val="21"/>
                <w:lang w:val="en-US"/>
              </w:rPr>
              <m:t>jq</m:t>
            </m:r>
          </m:sub>
        </m:sSub>
      </m:oMath>
      <w:r w:rsidRPr="00E931DB">
        <w:rPr>
          <w:rFonts w:ascii="Segoe UI" w:hAnsi="Segoe UI" w:cs="Segoe UI"/>
          <w:color w:val="172B4D"/>
          <w:sz w:val="21"/>
          <w:szCs w:val="21"/>
          <w:lang w:val="en-US"/>
        </w:rPr>
        <w:t xml:space="preserve"> the percentage of job</w:t>
      </w:r>
      <w:r w:rsidR="000F7068">
        <w:rPr>
          <w:rFonts w:ascii="Segoe UI" w:hAnsi="Segoe UI" w:cs="Segoe UI"/>
          <w:color w:val="172B4D"/>
          <w:sz w:val="21"/>
          <w:szCs w:val="21"/>
          <w:lang w:val="en-US"/>
        </w:rPr>
        <w:t xml:space="preserve"> position</w:t>
      </w:r>
      <w:r w:rsidRPr="00E931DB">
        <w:rPr>
          <w:rFonts w:ascii="Segoe UI" w:hAnsi="Segoe UI" w:cs="Segoe UI"/>
          <w:color w:val="172B4D"/>
          <w:sz w:val="21"/>
          <w:szCs w:val="21"/>
          <w:lang w:val="en-US"/>
        </w:rPr>
        <w:t xml:space="preserve">s in the professional figure </w:t>
      </w:r>
      <w:r w:rsidRPr="003C565B">
        <w:rPr>
          <w:rFonts w:ascii="Segoe UI" w:hAnsi="Segoe UI" w:cs="Segoe UI"/>
          <w:i/>
          <w:color w:val="172B4D"/>
          <w:sz w:val="21"/>
          <w:szCs w:val="21"/>
          <w:lang w:val="en-US"/>
        </w:rPr>
        <w:t>j</w:t>
      </w:r>
      <w:r w:rsidRPr="00E931DB">
        <w:rPr>
          <w:rFonts w:ascii="Segoe UI" w:hAnsi="Segoe UI" w:cs="Segoe UI"/>
          <w:color w:val="172B4D"/>
          <w:sz w:val="21"/>
          <w:szCs w:val="21"/>
          <w:lang w:val="en-US"/>
        </w:rPr>
        <w:t xml:space="preserve"> in the quarter </w:t>
      </w:r>
      <w:r w:rsidRPr="003C565B">
        <w:rPr>
          <w:rFonts w:ascii="Segoe UI" w:hAnsi="Segoe UI" w:cs="Segoe UI"/>
          <w:i/>
          <w:color w:val="172B4D"/>
          <w:sz w:val="21"/>
          <w:szCs w:val="21"/>
          <w:lang w:val="en-US"/>
        </w:rPr>
        <w:t>q</w:t>
      </w:r>
      <w:r w:rsidRPr="00E931DB">
        <w:rPr>
          <w:rFonts w:ascii="Segoe UI" w:hAnsi="Segoe UI" w:cs="Segoe UI"/>
          <w:color w:val="172B4D"/>
          <w:sz w:val="21"/>
          <w:szCs w:val="21"/>
          <w:lang w:val="en-US"/>
        </w:rPr>
        <w:t xml:space="preserve"> (values in Table 2) and with </w:t>
      </w:r>
      <m:oMath>
        <m:sSub>
          <m:sSubPr>
            <m:ctrlPr>
              <w:rPr>
                <w:rFonts w:ascii="Cambria Math" w:hAnsi="Cambria Math" w:cs="Segoe UI"/>
                <w:color w:val="172B4D"/>
                <w:sz w:val="21"/>
                <w:szCs w:val="21"/>
                <w:lang w:val="en-US"/>
              </w:rPr>
            </m:ctrlPr>
          </m:sSubPr>
          <m:e>
            <m:acc>
              <m:accPr>
                <m:ctrlPr>
                  <w:rPr>
                    <w:rFonts w:ascii="Cambria Math" w:hAnsi="Cambria Math" w:cs="Segoe UI"/>
                    <w:color w:val="172B4D"/>
                    <w:sz w:val="21"/>
                    <w:szCs w:val="21"/>
                    <w:lang w:val="en-US"/>
                  </w:rPr>
                </m:ctrlPr>
              </m:accPr>
              <m:e>
                <m:r>
                  <w:rPr>
                    <w:rFonts w:ascii="Cambria Math" w:hAnsi="Cambria Math" w:cs="Segoe UI"/>
                    <w:color w:val="172B4D"/>
                    <w:sz w:val="21"/>
                    <w:szCs w:val="21"/>
                    <w:lang w:val="en-US"/>
                  </w:rPr>
                  <m:t>JP</m:t>
                </m:r>
              </m:e>
            </m:acc>
          </m:e>
          <m:sub>
            <m:r>
              <w:rPr>
                <w:rFonts w:ascii="Cambria Math" w:hAnsi="Cambria Math" w:cs="Segoe UI"/>
                <w:color w:val="172B4D"/>
                <w:sz w:val="21"/>
                <w:szCs w:val="21"/>
                <w:lang w:val="en-US"/>
              </w:rPr>
              <m:t>q</m:t>
            </m:r>
          </m:sub>
        </m:sSub>
      </m:oMath>
      <w:r w:rsidRPr="00E931DB">
        <w:rPr>
          <w:rFonts w:ascii="Segoe UI" w:hAnsi="Segoe UI" w:cs="Segoe UI"/>
          <w:color w:val="172B4D"/>
          <w:sz w:val="21"/>
          <w:szCs w:val="21"/>
          <w:lang w:val="en-US"/>
        </w:rPr>
        <w:t xml:space="preserve"> the estimate of the number of </w:t>
      </w:r>
      <w:r w:rsidR="000F7068">
        <w:rPr>
          <w:rFonts w:ascii="Segoe UI" w:hAnsi="Segoe UI" w:cs="Segoe UI"/>
          <w:color w:val="172B4D"/>
          <w:sz w:val="21"/>
          <w:szCs w:val="21"/>
          <w:lang w:val="en-US"/>
        </w:rPr>
        <w:t>job positions</w:t>
      </w:r>
      <w:r w:rsidR="000F7068" w:rsidRPr="00E931DB">
        <w:rPr>
          <w:rFonts w:ascii="Segoe UI" w:hAnsi="Segoe UI" w:cs="Segoe UI"/>
          <w:color w:val="172B4D"/>
          <w:sz w:val="21"/>
          <w:szCs w:val="21"/>
          <w:lang w:val="en-US"/>
        </w:rPr>
        <w:t xml:space="preserve"> </w:t>
      </w:r>
      <w:r w:rsidRPr="00E931DB">
        <w:rPr>
          <w:rFonts w:ascii="Segoe UI" w:hAnsi="Segoe UI" w:cs="Segoe UI"/>
          <w:color w:val="172B4D"/>
          <w:sz w:val="21"/>
          <w:szCs w:val="21"/>
          <w:lang w:val="en-US"/>
        </w:rPr>
        <w:t xml:space="preserve">obtained from the vacancy survey for the total economy in quarter </w:t>
      </w:r>
      <w:r w:rsidRPr="003C565B">
        <w:rPr>
          <w:rFonts w:ascii="Segoe UI" w:hAnsi="Segoe UI" w:cs="Segoe UI"/>
          <w:i/>
          <w:color w:val="172B4D"/>
          <w:sz w:val="21"/>
          <w:szCs w:val="21"/>
          <w:lang w:val="en-US"/>
        </w:rPr>
        <w:t>q</w:t>
      </w:r>
      <w:r w:rsidRPr="00E931DB">
        <w:rPr>
          <w:rFonts w:ascii="Segoe UI" w:hAnsi="Segoe UI" w:cs="Segoe UI"/>
          <w:color w:val="172B4D"/>
          <w:sz w:val="21"/>
          <w:szCs w:val="21"/>
          <w:lang w:val="en-US"/>
        </w:rPr>
        <w:t xml:space="preserve"> we compute the number of </w:t>
      </w:r>
      <w:r w:rsidR="000F7068">
        <w:rPr>
          <w:rFonts w:ascii="Segoe UI" w:hAnsi="Segoe UI" w:cs="Segoe UI"/>
          <w:color w:val="172B4D"/>
          <w:sz w:val="21"/>
          <w:szCs w:val="21"/>
          <w:lang w:val="en-US"/>
        </w:rPr>
        <w:t>job positions</w:t>
      </w:r>
      <w:r w:rsidR="000F7068" w:rsidRPr="00E931DB">
        <w:rPr>
          <w:rFonts w:ascii="Segoe UI" w:hAnsi="Segoe UI" w:cs="Segoe UI"/>
          <w:color w:val="172B4D"/>
          <w:sz w:val="21"/>
          <w:szCs w:val="21"/>
          <w:lang w:val="en-US"/>
        </w:rPr>
        <w:t xml:space="preserve"> </w:t>
      </w:r>
      <w:r w:rsidRPr="00E931DB">
        <w:rPr>
          <w:rFonts w:ascii="Segoe UI" w:hAnsi="Segoe UI" w:cs="Segoe UI"/>
          <w:color w:val="172B4D"/>
          <w:sz w:val="21"/>
          <w:szCs w:val="21"/>
          <w:lang w:val="en-US"/>
        </w:rPr>
        <w:t>useful for the computation of the job vacancy rate, as:</w:t>
      </w:r>
    </w:p>
    <w:p w14:paraId="6C0F7D1B" w14:textId="15429AC4" w:rsidR="00EC2495" w:rsidRPr="003F463A" w:rsidRDefault="003C565B" w:rsidP="00EC2495">
      <w:pPr>
        <w:jc w:val="both"/>
        <w:rPr>
          <w:color w:val="172B4D"/>
          <w:lang w:val="en-GB"/>
        </w:rPr>
      </w:pPr>
      <m:oMath>
        <m:sSub>
          <m:sSubPr>
            <m:ctrlPr>
              <w:rPr>
                <w:rFonts w:ascii="Cambria Math" w:hAnsi="Cambria Math"/>
                <w:i/>
                <w:color w:val="172B4D"/>
                <w:lang w:val="en-GB"/>
              </w:rPr>
            </m:ctrlPr>
          </m:sSubPr>
          <m:e>
            <m:r>
              <w:rPr>
                <w:rFonts w:ascii="Cambria Math" w:hAnsi="Cambria Math"/>
                <w:color w:val="172B4D"/>
                <w:lang w:val="en-GB"/>
              </w:rPr>
              <m:t>JP</m:t>
            </m:r>
          </m:e>
          <m:sub>
            <m:r>
              <w:rPr>
                <w:rFonts w:ascii="Cambria Math" w:hAnsi="Cambria Math"/>
                <w:color w:val="172B4D"/>
                <w:lang w:val="en-GB"/>
              </w:rPr>
              <m:t>jq</m:t>
            </m:r>
          </m:sub>
        </m:sSub>
        <m:r>
          <w:rPr>
            <w:rFonts w:ascii="Cambria Math" w:hAnsi="Cambria Math"/>
            <w:color w:val="172B4D"/>
            <w:lang w:val="en-GB"/>
          </w:rPr>
          <m:t>=</m:t>
        </m:r>
        <m:sSub>
          <m:sSubPr>
            <m:ctrlPr>
              <w:rPr>
                <w:rFonts w:ascii="Cambria Math" w:hAnsi="Cambria Math"/>
                <w:i/>
                <w:color w:val="172B4D"/>
                <w:lang w:val="en-GB"/>
              </w:rPr>
            </m:ctrlPr>
          </m:sSubPr>
          <m:e>
            <m:r>
              <w:rPr>
                <w:rFonts w:ascii="Cambria Math" w:hAnsi="Cambria Math"/>
                <w:color w:val="172B4D"/>
                <w:lang w:val="en-GB"/>
              </w:rPr>
              <m:t>JP</m:t>
            </m:r>
          </m:e>
          <m:sub>
            <m:r>
              <w:rPr>
                <w:rFonts w:ascii="Cambria Math" w:hAnsi="Cambria Math"/>
                <w:color w:val="172B4D"/>
                <w:lang w:val="en-GB"/>
              </w:rPr>
              <m:t>q</m:t>
            </m:r>
          </m:sub>
        </m:sSub>
        <m:r>
          <w:rPr>
            <w:rFonts w:ascii="Cambria Math" w:hAnsi="Cambria Math"/>
            <w:color w:val="172B4D"/>
            <w:lang w:val="en-GB"/>
          </w:rPr>
          <m:t>*</m:t>
        </m:r>
        <m:sSub>
          <m:sSubPr>
            <m:ctrlPr>
              <w:rPr>
                <w:rFonts w:ascii="Cambria Math" w:hAnsi="Cambria Math"/>
                <w:i/>
                <w:color w:val="172B4D"/>
                <w:lang w:val="en-GB"/>
              </w:rPr>
            </m:ctrlPr>
          </m:sSubPr>
          <m:e>
            <m:r>
              <w:rPr>
                <w:rFonts w:ascii="Cambria Math" w:hAnsi="Cambria Math"/>
                <w:color w:val="172B4D"/>
                <w:lang w:val="en-GB"/>
              </w:rPr>
              <m:t>d</m:t>
            </m:r>
          </m:e>
          <m:sub>
            <m:r>
              <w:rPr>
                <w:rFonts w:ascii="Cambria Math" w:hAnsi="Cambria Math"/>
                <w:color w:val="172B4D"/>
                <w:lang w:val="en-GB"/>
              </w:rPr>
              <m:t>jq</m:t>
            </m:r>
          </m:sub>
        </m:sSub>
      </m:oMath>
      <w:r w:rsidR="003F463A">
        <w:rPr>
          <w:color w:val="172B4D"/>
          <w:lang w:val="en-GB"/>
        </w:rPr>
        <w:t xml:space="preserve"> </w:t>
      </w:r>
      <w:r w:rsidR="003F463A">
        <w:rPr>
          <w:color w:val="172B4D"/>
          <w:lang w:val="en-GB"/>
        </w:rPr>
        <w:tab/>
      </w:r>
      <w:r w:rsidR="003F463A">
        <w:rPr>
          <w:color w:val="172B4D"/>
          <w:lang w:val="en-GB"/>
        </w:rPr>
        <w:tab/>
      </w:r>
      <w:r w:rsidR="003F463A">
        <w:rPr>
          <w:color w:val="172B4D"/>
          <w:lang w:val="en-GB"/>
        </w:rPr>
        <w:tab/>
      </w:r>
      <w:r w:rsidR="003F463A">
        <w:rPr>
          <w:color w:val="172B4D"/>
          <w:lang w:val="en-GB"/>
        </w:rPr>
        <w:tab/>
      </w:r>
      <w:r w:rsidR="003F463A">
        <w:rPr>
          <w:color w:val="172B4D"/>
          <w:lang w:val="en-GB"/>
        </w:rPr>
        <w:tab/>
      </w:r>
      <w:r w:rsidR="003F463A">
        <w:rPr>
          <w:color w:val="172B4D"/>
          <w:lang w:val="en-GB"/>
        </w:rPr>
        <w:tab/>
      </w:r>
      <w:r w:rsidR="003F463A">
        <w:rPr>
          <w:color w:val="172B4D"/>
          <w:lang w:val="en-GB"/>
        </w:rPr>
        <w:tab/>
      </w:r>
      <w:r w:rsidR="003F463A">
        <w:rPr>
          <w:color w:val="172B4D"/>
          <w:lang w:val="en-GB"/>
        </w:rPr>
        <w:tab/>
      </w:r>
      <w:r w:rsidR="003F463A">
        <w:rPr>
          <w:color w:val="172B4D"/>
          <w:lang w:val="en-GB"/>
        </w:rPr>
        <w:tab/>
      </w:r>
      <w:r w:rsidR="003F463A">
        <w:rPr>
          <w:color w:val="172B4D"/>
          <w:lang w:val="en-GB"/>
        </w:rPr>
        <w:tab/>
        <w:t>[3]</w:t>
      </w:r>
    </w:p>
    <w:p w14:paraId="293F72D7" w14:textId="77777777" w:rsidR="00EC2495" w:rsidRDefault="00EC2495" w:rsidP="00EC2495">
      <w:pPr>
        <w:jc w:val="both"/>
        <w:rPr>
          <w:lang w:val="en-GB"/>
        </w:rPr>
      </w:pPr>
    </w:p>
    <w:p w14:paraId="022569AB" w14:textId="0A0CF5B6" w:rsidR="00EC2495" w:rsidRPr="00E931DB" w:rsidRDefault="00EC2495" w:rsidP="00EC2495">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 xml:space="preserve">In this way, the vacancy rate </w:t>
      </w:r>
      <w:r w:rsidR="00A00026">
        <w:rPr>
          <w:rFonts w:ascii="Segoe UI" w:hAnsi="Segoe UI" w:cs="Segoe UI"/>
          <w:color w:val="172B4D"/>
          <w:sz w:val="21"/>
          <w:szCs w:val="21"/>
          <w:lang w:val="en-US"/>
        </w:rPr>
        <w:t>by</w:t>
      </w:r>
      <w:r w:rsidR="00A00026" w:rsidRPr="00E931DB">
        <w:rPr>
          <w:rFonts w:ascii="Segoe UI" w:hAnsi="Segoe UI" w:cs="Segoe UI"/>
          <w:color w:val="172B4D"/>
          <w:sz w:val="21"/>
          <w:szCs w:val="21"/>
          <w:lang w:val="en-US"/>
        </w:rPr>
        <w:t xml:space="preserve"> </w:t>
      </w:r>
      <w:r w:rsidRPr="00E931DB">
        <w:rPr>
          <w:rFonts w:ascii="Segoe UI" w:hAnsi="Segoe UI" w:cs="Segoe UI"/>
          <w:color w:val="172B4D"/>
          <w:sz w:val="21"/>
          <w:szCs w:val="21"/>
          <w:lang w:val="en-US"/>
        </w:rPr>
        <w:t>professional figure</w:t>
      </w:r>
      <w:r w:rsidRPr="003C565B">
        <w:rPr>
          <w:rFonts w:ascii="Segoe UI" w:hAnsi="Segoe UI" w:cs="Segoe UI"/>
          <w:i/>
          <w:color w:val="172B4D"/>
          <w:sz w:val="21"/>
          <w:szCs w:val="21"/>
          <w:lang w:val="en-US"/>
        </w:rPr>
        <w:t xml:space="preserve"> j</w:t>
      </w:r>
      <w:r w:rsidRPr="00E931DB">
        <w:rPr>
          <w:rFonts w:ascii="Segoe UI" w:hAnsi="Segoe UI" w:cs="Segoe UI"/>
          <w:color w:val="172B4D"/>
          <w:sz w:val="21"/>
          <w:szCs w:val="21"/>
          <w:lang w:val="en-US"/>
        </w:rPr>
        <w:t xml:space="preserve"> in quarter </w:t>
      </w:r>
      <w:r w:rsidRPr="003C565B">
        <w:rPr>
          <w:rFonts w:ascii="Segoe UI" w:hAnsi="Segoe UI" w:cs="Segoe UI"/>
          <w:i/>
          <w:color w:val="172B4D"/>
          <w:sz w:val="21"/>
          <w:szCs w:val="21"/>
          <w:lang w:val="en-US"/>
        </w:rPr>
        <w:t>q</w:t>
      </w:r>
      <w:r w:rsidRPr="00E931DB">
        <w:rPr>
          <w:rFonts w:ascii="Segoe UI" w:hAnsi="Segoe UI" w:cs="Segoe UI"/>
          <w:color w:val="172B4D"/>
          <w:sz w:val="21"/>
          <w:szCs w:val="21"/>
          <w:lang w:val="en-US"/>
        </w:rPr>
        <w:t xml:space="preserve"> can be calculated as</w:t>
      </w:r>
      <w:r w:rsidR="00A00026">
        <w:rPr>
          <w:rFonts w:ascii="Segoe UI" w:hAnsi="Segoe UI" w:cs="Segoe UI"/>
          <w:color w:val="172B4D"/>
          <w:sz w:val="21"/>
          <w:szCs w:val="21"/>
          <w:lang w:val="en-US"/>
        </w:rPr>
        <w:t xml:space="preserve"> follow</w:t>
      </w:r>
      <w:r w:rsidRPr="00E931DB">
        <w:rPr>
          <w:rFonts w:ascii="Segoe UI" w:hAnsi="Segoe UI" w:cs="Segoe UI"/>
          <w:color w:val="172B4D"/>
          <w:sz w:val="21"/>
          <w:szCs w:val="21"/>
          <w:lang w:val="en-US"/>
        </w:rPr>
        <w:t>:</w:t>
      </w:r>
    </w:p>
    <w:p w14:paraId="70536424" w14:textId="597DDAAE" w:rsidR="00EC2495" w:rsidRPr="003F463A" w:rsidRDefault="003C565B" w:rsidP="00EC2495">
      <w:pPr>
        <w:jc w:val="both"/>
        <w:rPr>
          <w:rFonts w:ascii="Cambria Math" w:hAnsi="Cambria Math"/>
          <w:i/>
          <w:color w:val="172B4D"/>
          <w:lang w:val="en-GB"/>
        </w:rPr>
      </w:pPr>
      <m:oMath>
        <m:sSub>
          <m:sSubPr>
            <m:ctrlPr>
              <w:rPr>
                <w:rFonts w:ascii="Cambria Math" w:hAnsi="Cambria Math"/>
                <w:i/>
                <w:color w:val="172B4D"/>
                <w:lang w:val="en-GB"/>
              </w:rPr>
            </m:ctrlPr>
          </m:sSubPr>
          <m:e>
            <m:r>
              <w:rPr>
                <w:rFonts w:ascii="Cambria Math" w:hAnsi="Cambria Math"/>
                <w:color w:val="172B4D"/>
                <w:lang w:val="en-GB"/>
              </w:rPr>
              <m:t>OJAr</m:t>
            </m:r>
          </m:e>
          <m:sub>
            <m:r>
              <w:rPr>
                <w:rFonts w:ascii="Cambria Math" w:hAnsi="Cambria Math"/>
                <w:color w:val="172B4D"/>
                <w:lang w:val="en-GB"/>
              </w:rPr>
              <m:t>jq</m:t>
            </m:r>
          </m:sub>
        </m:sSub>
        <m:r>
          <w:rPr>
            <w:rFonts w:ascii="Cambria Math" w:hAnsi="Cambria Math"/>
            <w:color w:val="172B4D"/>
            <w:lang w:val="en-GB"/>
          </w:rPr>
          <m:t>=</m:t>
        </m:r>
        <m:f>
          <m:fPr>
            <m:ctrlPr>
              <w:rPr>
                <w:rFonts w:ascii="Cambria Math" w:hAnsi="Cambria Math"/>
                <w:i/>
                <w:color w:val="172B4D"/>
                <w:lang w:val="en-GB"/>
              </w:rPr>
            </m:ctrlPr>
          </m:fPr>
          <m:num>
            <m:sSub>
              <m:sSubPr>
                <m:ctrlPr>
                  <w:rPr>
                    <w:rFonts w:ascii="Cambria Math" w:hAnsi="Cambria Math"/>
                    <w:i/>
                    <w:color w:val="172B4D"/>
                    <w:lang w:val="en-GB"/>
                  </w:rPr>
                </m:ctrlPr>
              </m:sSubPr>
              <m:e>
                <m:r>
                  <w:rPr>
                    <w:rFonts w:ascii="Cambria Math" w:hAnsi="Cambria Math"/>
                    <w:color w:val="172B4D"/>
                    <w:lang w:val="en-GB"/>
                  </w:rPr>
                  <m:t>OJA</m:t>
                </m:r>
              </m:e>
              <m:sub>
                <m:r>
                  <w:rPr>
                    <w:rFonts w:ascii="Cambria Math" w:hAnsi="Cambria Math"/>
                    <w:color w:val="172B4D"/>
                    <w:lang w:val="en-GB"/>
                  </w:rPr>
                  <m:t>jq</m:t>
                </m:r>
              </m:sub>
            </m:sSub>
          </m:num>
          <m:den>
            <m:sSub>
              <m:sSubPr>
                <m:ctrlPr>
                  <w:rPr>
                    <w:rFonts w:ascii="Cambria Math" w:hAnsi="Cambria Math"/>
                    <w:i/>
                    <w:color w:val="172B4D"/>
                    <w:lang w:val="en-GB"/>
                  </w:rPr>
                </m:ctrlPr>
              </m:sSubPr>
              <m:e>
                <m:r>
                  <w:rPr>
                    <w:rFonts w:ascii="Cambria Math" w:hAnsi="Cambria Math"/>
                    <w:color w:val="172B4D"/>
                    <w:lang w:val="en-GB"/>
                  </w:rPr>
                  <m:t>OJA</m:t>
                </m:r>
              </m:e>
              <m:sub>
                <m:r>
                  <w:rPr>
                    <w:rFonts w:ascii="Cambria Math" w:hAnsi="Cambria Math"/>
                    <w:color w:val="172B4D"/>
                    <w:lang w:val="en-GB"/>
                  </w:rPr>
                  <m:t>jq</m:t>
                </m:r>
              </m:sub>
            </m:sSub>
            <m:r>
              <w:rPr>
                <w:rFonts w:ascii="Cambria Math" w:hAnsi="Cambria Math"/>
                <w:color w:val="172B4D"/>
                <w:lang w:val="en-GB"/>
              </w:rPr>
              <m:t>+</m:t>
            </m:r>
            <m:sSub>
              <m:sSubPr>
                <m:ctrlPr>
                  <w:rPr>
                    <w:rFonts w:ascii="Cambria Math" w:hAnsi="Cambria Math"/>
                    <w:i/>
                    <w:color w:val="172B4D"/>
                    <w:lang w:val="en-GB"/>
                  </w:rPr>
                </m:ctrlPr>
              </m:sSubPr>
              <m:e>
                <m:r>
                  <w:rPr>
                    <w:rFonts w:ascii="Cambria Math" w:hAnsi="Cambria Math"/>
                    <w:color w:val="172B4D"/>
                    <w:lang w:val="en-GB"/>
                  </w:rPr>
                  <m:t>JP</m:t>
                </m:r>
              </m:e>
              <m:sub>
                <m:r>
                  <w:rPr>
                    <w:rFonts w:ascii="Cambria Math" w:hAnsi="Cambria Math"/>
                    <w:color w:val="172B4D"/>
                    <w:lang w:val="en-GB"/>
                  </w:rPr>
                  <m:t>jq</m:t>
                </m:r>
              </m:sub>
            </m:sSub>
          </m:den>
        </m:f>
      </m:oMath>
      <w:r w:rsidR="003F463A">
        <w:rPr>
          <w:rFonts w:ascii="Cambria Math" w:hAnsi="Cambria Math"/>
          <w:i/>
          <w:color w:val="172B4D"/>
          <w:lang w:val="en-GB"/>
        </w:rPr>
        <w:t xml:space="preserve"> </w:t>
      </w:r>
      <w:r w:rsidR="003F463A">
        <w:rPr>
          <w:rFonts w:ascii="Cambria Math" w:hAnsi="Cambria Math"/>
          <w:i/>
          <w:color w:val="172B4D"/>
          <w:lang w:val="en-GB"/>
        </w:rPr>
        <w:tab/>
      </w:r>
      <w:r w:rsidR="003F463A">
        <w:rPr>
          <w:rFonts w:ascii="Cambria Math" w:hAnsi="Cambria Math"/>
          <w:i/>
          <w:color w:val="172B4D"/>
          <w:lang w:val="en-GB"/>
        </w:rPr>
        <w:tab/>
      </w:r>
      <w:r w:rsidR="003F463A">
        <w:rPr>
          <w:rFonts w:ascii="Cambria Math" w:hAnsi="Cambria Math"/>
          <w:i/>
          <w:color w:val="172B4D"/>
          <w:lang w:val="en-GB"/>
        </w:rPr>
        <w:tab/>
      </w:r>
      <w:r w:rsidR="003F463A">
        <w:rPr>
          <w:rFonts w:ascii="Cambria Math" w:hAnsi="Cambria Math"/>
          <w:i/>
          <w:color w:val="172B4D"/>
          <w:lang w:val="en-GB"/>
        </w:rPr>
        <w:tab/>
      </w:r>
      <w:r w:rsidR="003F463A">
        <w:rPr>
          <w:rFonts w:ascii="Cambria Math" w:hAnsi="Cambria Math"/>
          <w:i/>
          <w:color w:val="172B4D"/>
          <w:lang w:val="en-GB"/>
        </w:rPr>
        <w:tab/>
      </w:r>
      <w:r w:rsidR="003F463A">
        <w:rPr>
          <w:rFonts w:ascii="Cambria Math" w:hAnsi="Cambria Math"/>
          <w:i/>
          <w:color w:val="172B4D"/>
          <w:lang w:val="en-GB"/>
        </w:rPr>
        <w:tab/>
      </w:r>
      <w:r w:rsidR="003F463A">
        <w:rPr>
          <w:rFonts w:ascii="Cambria Math" w:hAnsi="Cambria Math"/>
          <w:i/>
          <w:color w:val="172B4D"/>
          <w:lang w:val="en-GB"/>
        </w:rPr>
        <w:tab/>
      </w:r>
      <w:r w:rsidR="003F463A">
        <w:rPr>
          <w:rFonts w:ascii="Cambria Math" w:hAnsi="Cambria Math"/>
          <w:i/>
          <w:color w:val="172B4D"/>
          <w:lang w:val="en-GB"/>
        </w:rPr>
        <w:tab/>
      </w:r>
      <w:r w:rsidR="003F463A">
        <w:rPr>
          <w:rFonts w:ascii="Cambria Math" w:hAnsi="Cambria Math"/>
          <w:i/>
          <w:color w:val="172B4D"/>
          <w:lang w:val="en-GB"/>
        </w:rPr>
        <w:tab/>
      </w:r>
      <w:r w:rsidR="003F463A">
        <w:rPr>
          <w:rFonts w:ascii="Cambria Math" w:hAnsi="Cambria Math"/>
          <w:i/>
          <w:color w:val="172B4D"/>
          <w:lang w:val="en-GB"/>
        </w:rPr>
        <w:tab/>
      </w:r>
      <w:r w:rsidR="003F463A">
        <w:rPr>
          <w:color w:val="172B4D"/>
          <w:lang w:val="en-GB"/>
        </w:rPr>
        <w:t>[4]</w:t>
      </w:r>
    </w:p>
    <w:p w14:paraId="05775CDC" w14:textId="77777777" w:rsidR="00EC2495" w:rsidRPr="00E931DB" w:rsidRDefault="00EC2495" w:rsidP="00EC2495">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 xml:space="preserve">where </w:t>
      </w:r>
      <m:oMath>
        <m:sSub>
          <m:sSubPr>
            <m:ctrlPr>
              <w:rPr>
                <w:rFonts w:ascii="Cambria Math" w:hAnsi="Cambria Math" w:cs="Segoe UI"/>
                <w:color w:val="172B4D"/>
                <w:sz w:val="21"/>
                <w:szCs w:val="21"/>
                <w:lang w:val="en-US"/>
              </w:rPr>
            </m:ctrlPr>
          </m:sSubPr>
          <m:e>
            <m:r>
              <w:rPr>
                <w:rFonts w:ascii="Cambria Math" w:hAnsi="Cambria Math" w:cs="Segoe UI"/>
                <w:color w:val="172B4D"/>
                <w:sz w:val="21"/>
                <w:szCs w:val="21"/>
                <w:lang w:val="en-US"/>
              </w:rPr>
              <m:t>OJA</m:t>
            </m:r>
          </m:e>
          <m:sub>
            <m:r>
              <w:rPr>
                <w:rFonts w:ascii="Cambria Math" w:hAnsi="Cambria Math" w:cs="Segoe UI"/>
                <w:color w:val="172B4D"/>
                <w:sz w:val="21"/>
                <w:szCs w:val="21"/>
                <w:lang w:val="en-US"/>
              </w:rPr>
              <m:t>jq</m:t>
            </m:r>
          </m:sub>
        </m:sSub>
      </m:oMath>
      <w:r w:rsidRPr="00E931DB">
        <w:rPr>
          <w:rFonts w:ascii="Segoe UI" w:hAnsi="Segoe UI" w:cs="Segoe UI"/>
          <w:color w:val="172B4D"/>
          <w:sz w:val="21"/>
          <w:szCs w:val="21"/>
          <w:lang w:val="en-US"/>
        </w:rPr>
        <w:t xml:space="preserve"> is the number of online job advertisement for professional figure </w:t>
      </w:r>
      <w:r w:rsidRPr="003C565B">
        <w:rPr>
          <w:rFonts w:ascii="Segoe UI" w:hAnsi="Segoe UI" w:cs="Segoe UI"/>
          <w:i/>
          <w:color w:val="172B4D"/>
          <w:sz w:val="21"/>
          <w:szCs w:val="21"/>
          <w:lang w:val="en-US"/>
        </w:rPr>
        <w:t>j</w:t>
      </w:r>
      <w:r w:rsidRPr="00E931DB">
        <w:rPr>
          <w:rFonts w:ascii="Segoe UI" w:hAnsi="Segoe UI" w:cs="Segoe UI"/>
          <w:color w:val="172B4D"/>
          <w:sz w:val="21"/>
          <w:szCs w:val="21"/>
          <w:lang w:val="en-US"/>
        </w:rPr>
        <w:t xml:space="preserve"> in quarter </w:t>
      </w:r>
      <w:r w:rsidRPr="003C565B">
        <w:rPr>
          <w:rFonts w:ascii="Segoe UI" w:hAnsi="Segoe UI" w:cs="Segoe UI"/>
          <w:i/>
          <w:color w:val="172B4D"/>
          <w:sz w:val="21"/>
          <w:szCs w:val="21"/>
          <w:lang w:val="en-US"/>
        </w:rPr>
        <w:t>q</w:t>
      </w:r>
      <w:r w:rsidRPr="00E931DB">
        <w:rPr>
          <w:rFonts w:ascii="Segoe UI" w:hAnsi="Segoe UI" w:cs="Segoe UI"/>
          <w:color w:val="172B4D"/>
          <w:sz w:val="21"/>
          <w:szCs w:val="21"/>
          <w:lang w:val="en-US"/>
        </w:rPr>
        <w:t>.</w:t>
      </w:r>
    </w:p>
    <w:p w14:paraId="4F320F88" w14:textId="2E3B0589" w:rsidR="00EC2495" w:rsidRPr="00E931DB" w:rsidRDefault="00EC2495" w:rsidP="00EC2495">
      <w:pPr>
        <w:jc w:val="both"/>
        <w:rPr>
          <w:rFonts w:ascii="Segoe UI" w:hAnsi="Segoe UI" w:cs="Segoe UI"/>
          <w:color w:val="172B4D"/>
          <w:sz w:val="21"/>
          <w:szCs w:val="21"/>
          <w:lang w:val="en-US"/>
        </w:rPr>
      </w:pPr>
      <w:r w:rsidRPr="00E931DB">
        <w:rPr>
          <w:rFonts w:ascii="Segoe UI" w:hAnsi="Segoe UI" w:cs="Segoe UI"/>
          <w:color w:val="172B4D"/>
          <w:sz w:val="21"/>
          <w:szCs w:val="21"/>
          <w:lang w:val="en-US"/>
        </w:rPr>
        <w:t xml:space="preserve">The resulting </w:t>
      </w:r>
      <w:r w:rsidRPr="003C565B">
        <w:rPr>
          <w:rFonts w:ascii="Segoe UI" w:hAnsi="Segoe UI" w:cs="Segoe UI"/>
          <w:i/>
          <w:color w:val="172B4D"/>
          <w:sz w:val="21"/>
          <w:szCs w:val="21"/>
          <w:lang w:val="en-US"/>
        </w:rPr>
        <w:t>OJA</w:t>
      </w:r>
      <w:r w:rsidRPr="00E931DB">
        <w:rPr>
          <w:rFonts w:ascii="Segoe UI" w:hAnsi="Segoe UI" w:cs="Segoe UI"/>
          <w:color w:val="172B4D"/>
          <w:sz w:val="21"/>
          <w:szCs w:val="21"/>
          <w:lang w:val="en-US"/>
        </w:rPr>
        <w:t xml:space="preserve"> rates by professional figure are shown in Table 3. </w:t>
      </w:r>
    </w:p>
    <w:p w14:paraId="4E8AA34E" w14:textId="5DE89E2C" w:rsidR="00EC2495" w:rsidRDefault="000F5E7E" w:rsidP="00EC2495">
      <w:pPr>
        <w:jc w:val="both"/>
        <w:rPr>
          <w:rFonts w:ascii="Segoe UI" w:hAnsi="Segoe UI" w:cs="Segoe UI"/>
          <w:color w:val="172B4D"/>
          <w:sz w:val="21"/>
          <w:szCs w:val="21"/>
          <w:lang w:val="en-US"/>
        </w:rPr>
      </w:pPr>
      <w:r>
        <w:rPr>
          <w:rFonts w:ascii="Segoe UI" w:hAnsi="Segoe UI" w:cs="Segoe UI"/>
          <w:color w:val="172B4D"/>
          <w:sz w:val="21"/>
          <w:szCs w:val="21"/>
          <w:lang w:val="en-US"/>
        </w:rPr>
        <w:t>I</w:t>
      </w:r>
      <w:r w:rsidR="00EC2495" w:rsidRPr="00E931DB">
        <w:rPr>
          <w:rFonts w:ascii="Segoe UI" w:hAnsi="Segoe UI" w:cs="Segoe UI"/>
          <w:color w:val="172B4D"/>
          <w:sz w:val="21"/>
          <w:szCs w:val="21"/>
          <w:lang w:val="en-US"/>
        </w:rPr>
        <w:t xml:space="preserve">t is interesting to note </w:t>
      </w:r>
      <w:r>
        <w:rPr>
          <w:rFonts w:ascii="Segoe UI" w:hAnsi="Segoe UI" w:cs="Segoe UI"/>
          <w:color w:val="172B4D"/>
          <w:sz w:val="21"/>
          <w:szCs w:val="21"/>
          <w:lang w:val="en-US"/>
        </w:rPr>
        <w:t xml:space="preserve">that </w:t>
      </w:r>
      <w:r w:rsidR="00EC2495" w:rsidRPr="00E931DB">
        <w:rPr>
          <w:rFonts w:ascii="Segoe UI" w:hAnsi="Segoe UI" w:cs="Segoe UI"/>
          <w:color w:val="172B4D"/>
          <w:sz w:val="21"/>
          <w:szCs w:val="21"/>
          <w:lang w:val="en-US"/>
        </w:rPr>
        <w:t xml:space="preserve">the OJA rate for "Managers" is higher than the average of </w:t>
      </w:r>
      <w:r>
        <w:rPr>
          <w:rFonts w:ascii="Segoe UI" w:hAnsi="Segoe UI" w:cs="Segoe UI"/>
          <w:color w:val="172B4D"/>
          <w:sz w:val="21"/>
          <w:szCs w:val="21"/>
          <w:lang w:val="en-US"/>
        </w:rPr>
        <w:t xml:space="preserve">the </w:t>
      </w:r>
      <w:r w:rsidR="00EC2495" w:rsidRPr="00E931DB">
        <w:rPr>
          <w:rFonts w:ascii="Segoe UI" w:hAnsi="Segoe UI" w:cs="Segoe UI"/>
          <w:color w:val="172B4D"/>
          <w:sz w:val="21"/>
          <w:szCs w:val="21"/>
          <w:lang w:val="en-US"/>
        </w:rPr>
        <w:t>other professional figures.</w:t>
      </w:r>
    </w:p>
    <w:p w14:paraId="19F9F989" w14:textId="34D3EA92" w:rsidR="004D5C07" w:rsidRDefault="004D5C07" w:rsidP="00EC2495">
      <w:pPr>
        <w:jc w:val="both"/>
        <w:rPr>
          <w:rFonts w:ascii="Segoe UI" w:hAnsi="Segoe UI" w:cs="Segoe UI"/>
          <w:color w:val="172B4D"/>
          <w:sz w:val="21"/>
          <w:szCs w:val="21"/>
          <w:lang w:val="en-US"/>
        </w:rPr>
      </w:pPr>
    </w:p>
    <w:p w14:paraId="40DABE3A" w14:textId="6071979D" w:rsidR="004D5C07" w:rsidRDefault="004D5C07" w:rsidP="00EC2495">
      <w:pPr>
        <w:jc w:val="both"/>
        <w:rPr>
          <w:rFonts w:ascii="Segoe UI" w:hAnsi="Segoe UI" w:cs="Segoe UI"/>
          <w:color w:val="172B4D"/>
          <w:sz w:val="21"/>
          <w:szCs w:val="21"/>
          <w:lang w:val="en-US"/>
        </w:rPr>
      </w:pPr>
    </w:p>
    <w:p w14:paraId="00D24A7D" w14:textId="77777777" w:rsidR="004D5C07" w:rsidRPr="00E931DB" w:rsidRDefault="004D5C07" w:rsidP="00EC2495">
      <w:pPr>
        <w:jc w:val="both"/>
        <w:rPr>
          <w:rFonts w:ascii="Segoe UI" w:hAnsi="Segoe UI" w:cs="Segoe UI"/>
          <w:color w:val="172B4D"/>
          <w:sz w:val="21"/>
          <w:szCs w:val="21"/>
          <w:lang w:val="en-US"/>
        </w:rPr>
      </w:pPr>
    </w:p>
    <w:p w14:paraId="3B347B4D" w14:textId="77777777" w:rsidR="00EC2495" w:rsidRPr="00E129D9" w:rsidRDefault="00EC2495" w:rsidP="00EC2495">
      <w:pPr>
        <w:rPr>
          <w:i/>
          <w:iCs/>
          <w:color w:val="44546A" w:themeColor="text2"/>
          <w:sz w:val="18"/>
          <w:szCs w:val="18"/>
          <w:lang w:val="en-GB"/>
        </w:rPr>
      </w:pPr>
      <w:r>
        <w:rPr>
          <w:i/>
          <w:iCs/>
          <w:color w:val="44546A" w:themeColor="text2"/>
          <w:sz w:val="18"/>
          <w:szCs w:val="18"/>
          <w:lang w:val="en-GB"/>
        </w:rPr>
        <w:lastRenderedPageBreak/>
        <w:t xml:space="preserve">Table 3: </w:t>
      </w:r>
      <w:r w:rsidRPr="00DE328C">
        <w:rPr>
          <w:i/>
          <w:iCs/>
          <w:color w:val="44546A" w:themeColor="text2"/>
          <w:sz w:val="18"/>
          <w:szCs w:val="18"/>
          <w:lang w:val="en-GB"/>
        </w:rPr>
        <w:t xml:space="preserve">Italian OJAs quarterly </w:t>
      </w:r>
      <w:r>
        <w:rPr>
          <w:i/>
          <w:iCs/>
          <w:color w:val="44546A" w:themeColor="text2"/>
          <w:sz w:val="18"/>
          <w:szCs w:val="18"/>
          <w:lang w:val="en-GB"/>
        </w:rPr>
        <w:t xml:space="preserve">rate </w:t>
      </w:r>
      <w:r w:rsidRPr="00DE328C">
        <w:rPr>
          <w:i/>
          <w:iCs/>
          <w:color w:val="44546A" w:themeColor="text2"/>
          <w:sz w:val="18"/>
          <w:szCs w:val="18"/>
          <w:lang w:val="en-GB"/>
        </w:rPr>
        <w:t>by Isco level 1</w:t>
      </w:r>
    </w:p>
    <w:tbl>
      <w:tblPr>
        <w:tblW w:w="5343" w:type="pct"/>
        <w:tblCellMar>
          <w:left w:w="70" w:type="dxa"/>
          <w:right w:w="70" w:type="dxa"/>
        </w:tblCellMar>
        <w:tblLook w:val="04A0" w:firstRow="1" w:lastRow="0" w:firstColumn="1" w:lastColumn="0" w:noHBand="0" w:noVBand="1"/>
      </w:tblPr>
      <w:tblGrid>
        <w:gridCol w:w="3553"/>
        <w:gridCol w:w="989"/>
        <w:gridCol w:w="989"/>
        <w:gridCol w:w="989"/>
        <w:gridCol w:w="989"/>
        <w:gridCol w:w="992"/>
        <w:gridCol w:w="1133"/>
      </w:tblGrid>
      <w:tr w:rsidR="004D5C07" w:rsidRPr="00F66278" w14:paraId="5A0CACA6" w14:textId="77777777" w:rsidTr="00C84542">
        <w:trPr>
          <w:trHeight w:val="510"/>
        </w:trPr>
        <w:tc>
          <w:tcPr>
            <w:tcW w:w="1844"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B1D3A" w14:textId="77777777" w:rsidR="00EC2495" w:rsidRPr="00F66278" w:rsidRDefault="00EC2495" w:rsidP="00F66278">
            <w:pPr>
              <w:jc w:val="both"/>
              <w:rPr>
                <w:rFonts w:ascii="Segoe UI" w:hAnsi="Segoe UI" w:cs="Segoe UI"/>
                <w:b/>
                <w:color w:val="172B4D"/>
                <w:sz w:val="21"/>
                <w:szCs w:val="21"/>
                <w:lang w:val="en-US"/>
              </w:rPr>
            </w:pPr>
            <w:r w:rsidRPr="00F66278">
              <w:rPr>
                <w:rFonts w:ascii="Segoe UI" w:hAnsi="Segoe UI" w:cs="Segoe UI"/>
                <w:b/>
                <w:color w:val="172B4D"/>
                <w:sz w:val="21"/>
                <w:szCs w:val="21"/>
                <w:lang w:val="en-US"/>
              </w:rPr>
              <w:t>Isco level 1</w:t>
            </w:r>
          </w:p>
        </w:tc>
        <w:tc>
          <w:tcPr>
            <w:tcW w:w="513"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34D1543" w14:textId="7DED944D" w:rsidR="00EC2495" w:rsidRPr="00F66278" w:rsidRDefault="00EC2495" w:rsidP="00AC3620">
            <w:pPr>
              <w:jc w:val="center"/>
              <w:rPr>
                <w:rFonts w:ascii="Segoe UI" w:hAnsi="Segoe UI" w:cs="Segoe UI"/>
                <w:b/>
                <w:color w:val="172B4D"/>
                <w:sz w:val="21"/>
                <w:szCs w:val="21"/>
                <w:lang w:val="en-US"/>
              </w:rPr>
            </w:pPr>
            <w:r w:rsidRPr="00F66278">
              <w:rPr>
                <w:rFonts w:ascii="Segoe UI" w:hAnsi="Segoe UI" w:cs="Segoe UI"/>
                <w:b/>
                <w:color w:val="172B4D"/>
                <w:sz w:val="21"/>
                <w:szCs w:val="21"/>
                <w:lang w:val="en-US"/>
              </w:rPr>
              <w:t>Q3</w:t>
            </w:r>
            <w:r w:rsidR="004D5C07">
              <w:rPr>
                <w:rFonts w:ascii="Segoe UI" w:hAnsi="Segoe UI" w:cs="Segoe UI"/>
                <w:b/>
                <w:color w:val="172B4D"/>
                <w:sz w:val="21"/>
                <w:szCs w:val="21"/>
                <w:lang w:val="en-US"/>
              </w:rPr>
              <w:t>-</w:t>
            </w:r>
            <w:r w:rsidRPr="00F66278">
              <w:rPr>
                <w:rFonts w:ascii="Segoe UI" w:hAnsi="Segoe UI" w:cs="Segoe UI"/>
                <w:b/>
                <w:color w:val="172B4D"/>
                <w:sz w:val="21"/>
                <w:szCs w:val="21"/>
                <w:lang w:val="en-US"/>
              </w:rPr>
              <w:t>2018</w:t>
            </w:r>
          </w:p>
        </w:tc>
        <w:tc>
          <w:tcPr>
            <w:tcW w:w="513"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0F3560FE" w14:textId="68924FFF" w:rsidR="00EC2495" w:rsidRPr="00F66278" w:rsidRDefault="00EC2495" w:rsidP="00AC3620">
            <w:pPr>
              <w:jc w:val="center"/>
              <w:rPr>
                <w:rFonts w:ascii="Segoe UI" w:hAnsi="Segoe UI" w:cs="Segoe UI"/>
                <w:b/>
                <w:color w:val="172B4D"/>
                <w:sz w:val="21"/>
                <w:szCs w:val="21"/>
                <w:lang w:val="en-US"/>
              </w:rPr>
            </w:pPr>
            <w:r w:rsidRPr="00F66278">
              <w:rPr>
                <w:rFonts w:ascii="Segoe UI" w:hAnsi="Segoe UI" w:cs="Segoe UI"/>
                <w:b/>
                <w:color w:val="172B4D"/>
                <w:sz w:val="21"/>
                <w:szCs w:val="21"/>
                <w:lang w:val="en-US"/>
              </w:rPr>
              <w:t>Q4</w:t>
            </w:r>
            <w:r w:rsidR="004D5C07">
              <w:rPr>
                <w:rFonts w:ascii="Segoe UI" w:hAnsi="Segoe UI" w:cs="Segoe UI"/>
                <w:b/>
                <w:color w:val="172B4D"/>
                <w:sz w:val="21"/>
                <w:szCs w:val="21"/>
                <w:lang w:val="en-US"/>
              </w:rPr>
              <w:t>-</w:t>
            </w:r>
            <w:r w:rsidRPr="00F66278">
              <w:rPr>
                <w:rFonts w:ascii="Segoe UI" w:hAnsi="Segoe UI" w:cs="Segoe UI"/>
                <w:b/>
                <w:color w:val="172B4D"/>
                <w:sz w:val="21"/>
                <w:szCs w:val="21"/>
                <w:lang w:val="en-US"/>
              </w:rPr>
              <w:t>2018</w:t>
            </w:r>
          </w:p>
        </w:tc>
        <w:tc>
          <w:tcPr>
            <w:tcW w:w="513"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0DD6A5DA" w14:textId="6348E37B" w:rsidR="00EC2495" w:rsidRPr="00F66278" w:rsidRDefault="00EC2495" w:rsidP="00AC3620">
            <w:pPr>
              <w:jc w:val="center"/>
              <w:rPr>
                <w:rFonts w:ascii="Segoe UI" w:hAnsi="Segoe UI" w:cs="Segoe UI"/>
                <w:b/>
                <w:color w:val="172B4D"/>
                <w:sz w:val="21"/>
                <w:szCs w:val="21"/>
                <w:lang w:val="en-US"/>
              </w:rPr>
            </w:pPr>
            <w:r w:rsidRPr="00F66278">
              <w:rPr>
                <w:rFonts w:ascii="Segoe UI" w:hAnsi="Segoe UI" w:cs="Segoe UI"/>
                <w:b/>
                <w:color w:val="172B4D"/>
                <w:sz w:val="21"/>
                <w:szCs w:val="21"/>
                <w:lang w:val="en-US"/>
              </w:rPr>
              <w:t>Q1</w:t>
            </w:r>
            <w:r w:rsidR="004D5C07">
              <w:rPr>
                <w:rFonts w:ascii="Segoe UI" w:hAnsi="Segoe UI" w:cs="Segoe UI"/>
                <w:b/>
                <w:color w:val="172B4D"/>
                <w:sz w:val="21"/>
                <w:szCs w:val="21"/>
                <w:lang w:val="en-US"/>
              </w:rPr>
              <w:t>-</w:t>
            </w:r>
            <w:r w:rsidRPr="00F66278">
              <w:rPr>
                <w:rFonts w:ascii="Segoe UI" w:hAnsi="Segoe UI" w:cs="Segoe UI"/>
                <w:b/>
                <w:color w:val="172B4D"/>
                <w:sz w:val="21"/>
                <w:szCs w:val="21"/>
                <w:lang w:val="en-US"/>
              </w:rPr>
              <w:t>20</w:t>
            </w:r>
            <w:r w:rsidR="00F66278">
              <w:rPr>
                <w:rFonts w:ascii="Segoe UI" w:hAnsi="Segoe UI" w:cs="Segoe UI"/>
                <w:b/>
                <w:color w:val="172B4D"/>
                <w:sz w:val="21"/>
                <w:szCs w:val="21"/>
                <w:lang w:val="en-US"/>
              </w:rPr>
              <w:t>19</w:t>
            </w:r>
          </w:p>
        </w:tc>
        <w:tc>
          <w:tcPr>
            <w:tcW w:w="513"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EA54ACC" w14:textId="1CDCBD65" w:rsidR="00EC2495" w:rsidRPr="00F66278" w:rsidRDefault="00EC2495" w:rsidP="00AC3620">
            <w:pPr>
              <w:jc w:val="center"/>
              <w:rPr>
                <w:rFonts w:ascii="Segoe UI" w:hAnsi="Segoe UI" w:cs="Segoe UI"/>
                <w:b/>
                <w:color w:val="172B4D"/>
                <w:sz w:val="21"/>
                <w:szCs w:val="21"/>
                <w:lang w:val="en-US"/>
              </w:rPr>
            </w:pPr>
            <w:r w:rsidRPr="00F66278">
              <w:rPr>
                <w:rFonts w:ascii="Segoe UI" w:hAnsi="Segoe UI" w:cs="Segoe UI"/>
                <w:b/>
                <w:color w:val="172B4D"/>
                <w:sz w:val="21"/>
                <w:szCs w:val="21"/>
                <w:lang w:val="en-US"/>
              </w:rPr>
              <w:t>Q2</w:t>
            </w:r>
            <w:r w:rsidR="004D5C07">
              <w:rPr>
                <w:rFonts w:ascii="Segoe UI" w:hAnsi="Segoe UI" w:cs="Segoe UI"/>
                <w:b/>
                <w:color w:val="172B4D"/>
                <w:sz w:val="21"/>
                <w:szCs w:val="21"/>
                <w:lang w:val="en-US"/>
              </w:rPr>
              <w:t>-</w:t>
            </w:r>
            <w:r w:rsidRPr="00F66278">
              <w:rPr>
                <w:rFonts w:ascii="Segoe UI" w:hAnsi="Segoe UI" w:cs="Segoe UI"/>
                <w:b/>
                <w:color w:val="172B4D"/>
                <w:sz w:val="21"/>
                <w:szCs w:val="21"/>
                <w:lang w:val="en-US"/>
              </w:rPr>
              <w:t>20</w:t>
            </w:r>
            <w:r w:rsidR="00F66278">
              <w:rPr>
                <w:rFonts w:ascii="Segoe UI" w:hAnsi="Segoe UI" w:cs="Segoe UI"/>
                <w:b/>
                <w:color w:val="172B4D"/>
                <w:sz w:val="21"/>
                <w:szCs w:val="21"/>
                <w:lang w:val="en-US"/>
              </w:rPr>
              <w:t>19</w:t>
            </w:r>
          </w:p>
        </w:tc>
        <w:tc>
          <w:tcPr>
            <w:tcW w:w="51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6337390" w14:textId="468F140A" w:rsidR="00EC2495" w:rsidRPr="00F66278" w:rsidRDefault="00EC2495" w:rsidP="00AC3620">
            <w:pPr>
              <w:jc w:val="center"/>
              <w:rPr>
                <w:rFonts w:ascii="Segoe UI" w:hAnsi="Segoe UI" w:cs="Segoe UI"/>
                <w:b/>
                <w:color w:val="172B4D"/>
                <w:sz w:val="21"/>
                <w:szCs w:val="21"/>
                <w:lang w:val="en-US"/>
              </w:rPr>
            </w:pPr>
            <w:r w:rsidRPr="00F66278">
              <w:rPr>
                <w:rFonts w:ascii="Segoe UI" w:hAnsi="Segoe UI" w:cs="Segoe UI"/>
                <w:b/>
                <w:color w:val="172B4D"/>
                <w:sz w:val="21"/>
                <w:szCs w:val="21"/>
                <w:lang w:val="en-US"/>
              </w:rPr>
              <w:t>Q3</w:t>
            </w:r>
            <w:r w:rsidR="004D5C07">
              <w:rPr>
                <w:rFonts w:ascii="Segoe UI" w:hAnsi="Segoe UI" w:cs="Segoe UI"/>
                <w:b/>
                <w:color w:val="172B4D"/>
                <w:sz w:val="21"/>
                <w:szCs w:val="21"/>
                <w:lang w:val="en-US"/>
              </w:rPr>
              <w:t>-</w:t>
            </w:r>
            <w:r w:rsidRPr="00F66278">
              <w:rPr>
                <w:rFonts w:ascii="Segoe UI" w:hAnsi="Segoe UI" w:cs="Segoe UI"/>
                <w:b/>
                <w:color w:val="172B4D"/>
                <w:sz w:val="21"/>
                <w:szCs w:val="21"/>
                <w:lang w:val="en-US"/>
              </w:rPr>
              <w:t>20</w:t>
            </w:r>
            <w:r w:rsidR="00F66278">
              <w:rPr>
                <w:rFonts w:ascii="Segoe UI" w:hAnsi="Segoe UI" w:cs="Segoe UI"/>
                <w:b/>
                <w:color w:val="172B4D"/>
                <w:sz w:val="21"/>
                <w:szCs w:val="21"/>
                <w:lang w:val="en-US"/>
              </w:rPr>
              <w:t>19</w:t>
            </w:r>
          </w:p>
        </w:tc>
        <w:tc>
          <w:tcPr>
            <w:tcW w:w="5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E5341B" w14:textId="23B3016A" w:rsidR="00EC2495" w:rsidRPr="00F66278" w:rsidRDefault="00EC2495" w:rsidP="00AC3620">
            <w:pPr>
              <w:jc w:val="center"/>
              <w:rPr>
                <w:rFonts w:ascii="Segoe UI" w:hAnsi="Segoe UI" w:cs="Segoe UI"/>
                <w:b/>
                <w:color w:val="172B4D"/>
                <w:sz w:val="21"/>
                <w:szCs w:val="21"/>
                <w:lang w:val="en-US"/>
              </w:rPr>
            </w:pPr>
            <w:r w:rsidRPr="00F66278">
              <w:rPr>
                <w:rFonts w:ascii="Segoe UI" w:hAnsi="Segoe UI" w:cs="Segoe UI"/>
                <w:b/>
                <w:color w:val="172B4D"/>
                <w:sz w:val="21"/>
                <w:szCs w:val="21"/>
                <w:lang w:val="en-US"/>
              </w:rPr>
              <w:t>Q4</w:t>
            </w:r>
            <w:r w:rsidR="004D5C07">
              <w:rPr>
                <w:rFonts w:ascii="Segoe UI" w:hAnsi="Segoe UI" w:cs="Segoe UI"/>
                <w:b/>
                <w:color w:val="172B4D"/>
                <w:sz w:val="21"/>
                <w:szCs w:val="21"/>
                <w:lang w:val="en-US"/>
              </w:rPr>
              <w:t>-</w:t>
            </w:r>
            <w:r w:rsidRPr="00F66278">
              <w:rPr>
                <w:rFonts w:ascii="Segoe UI" w:hAnsi="Segoe UI" w:cs="Segoe UI"/>
                <w:b/>
                <w:color w:val="172B4D"/>
                <w:sz w:val="21"/>
                <w:szCs w:val="21"/>
                <w:lang w:val="en-US"/>
              </w:rPr>
              <w:t>20</w:t>
            </w:r>
            <w:r w:rsidR="00F66278">
              <w:rPr>
                <w:rFonts w:ascii="Segoe UI" w:hAnsi="Segoe UI" w:cs="Segoe UI"/>
                <w:b/>
                <w:color w:val="172B4D"/>
                <w:sz w:val="21"/>
                <w:szCs w:val="21"/>
                <w:lang w:val="en-US"/>
              </w:rPr>
              <w:t>19</w:t>
            </w:r>
          </w:p>
        </w:tc>
      </w:tr>
      <w:tr w:rsidR="004D5C07" w:rsidRPr="00E129D9" w14:paraId="4121196F" w14:textId="77777777" w:rsidTr="004D5C07">
        <w:trPr>
          <w:trHeight w:val="510"/>
        </w:trPr>
        <w:tc>
          <w:tcPr>
            <w:tcW w:w="1844" w:type="pct"/>
            <w:tcBorders>
              <w:top w:val="nil"/>
              <w:left w:val="single" w:sz="4" w:space="0" w:color="auto"/>
              <w:bottom w:val="single" w:sz="4" w:space="0" w:color="auto"/>
              <w:right w:val="single" w:sz="4" w:space="0" w:color="auto"/>
            </w:tcBorders>
            <w:shd w:val="clear" w:color="000000" w:fill="FFFFFF"/>
            <w:vAlign w:val="center"/>
            <w:hideMark/>
          </w:tcPr>
          <w:p w14:paraId="33484907"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Clerical support workers</w:t>
            </w:r>
          </w:p>
        </w:tc>
        <w:tc>
          <w:tcPr>
            <w:tcW w:w="513" w:type="pct"/>
            <w:tcBorders>
              <w:top w:val="nil"/>
              <w:left w:val="nil"/>
              <w:bottom w:val="single" w:sz="4" w:space="0" w:color="auto"/>
              <w:right w:val="single" w:sz="4" w:space="0" w:color="auto"/>
            </w:tcBorders>
            <w:shd w:val="clear" w:color="000000" w:fill="FFFFFF"/>
            <w:noWrap/>
            <w:vAlign w:val="center"/>
            <w:hideMark/>
          </w:tcPr>
          <w:p w14:paraId="77265A85" w14:textId="0CD43188"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4</w:t>
            </w:r>
          </w:p>
        </w:tc>
        <w:tc>
          <w:tcPr>
            <w:tcW w:w="513" w:type="pct"/>
            <w:tcBorders>
              <w:top w:val="nil"/>
              <w:left w:val="nil"/>
              <w:bottom w:val="single" w:sz="4" w:space="0" w:color="auto"/>
              <w:right w:val="single" w:sz="4" w:space="0" w:color="auto"/>
            </w:tcBorders>
            <w:shd w:val="clear" w:color="000000" w:fill="FFFFFF"/>
            <w:noWrap/>
            <w:vAlign w:val="center"/>
            <w:hideMark/>
          </w:tcPr>
          <w:p w14:paraId="156B9D60" w14:textId="2A81FACC"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7</w:t>
            </w:r>
          </w:p>
        </w:tc>
        <w:tc>
          <w:tcPr>
            <w:tcW w:w="513" w:type="pct"/>
            <w:tcBorders>
              <w:top w:val="nil"/>
              <w:left w:val="nil"/>
              <w:bottom w:val="single" w:sz="4" w:space="0" w:color="auto"/>
              <w:right w:val="single" w:sz="4" w:space="0" w:color="auto"/>
            </w:tcBorders>
            <w:shd w:val="clear" w:color="000000" w:fill="FFFFFF"/>
            <w:noWrap/>
            <w:vAlign w:val="center"/>
            <w:hideMark/>
          </w:tcPr>
          <w:p w14:paraId="5C81257E" w14:textId="47CBC133" w:rsidR="00EC2495" w:rsidRPr="00F66278" w:rsidRDefault="00EC2495" w:rsidP="00EC2495">
            <w:pPr>
              <w:jc w:val="center"/>
              <w:rPr>
                <w:rFonts w:cs="Calibri"/>
                <w:color w:val="172B4D"/>
              </w:rPr>
            </w:pPr>
            <w:r w:rsidRPr="00F66278">
              <w:rPr>
                <w:rFonts w:cs="Calibri"/>
                <w:color w:val="172B4D"/>
              </w:rPr>
              <w:t>2</w:t>
            </w:r>
            <w:r w:rsidR="001E2410">
              <w:rPr>
                <w:rFonts w:cs="Calibri"/>
                <w:color w:val="172B4D"/>
              </w:rPr>
              <w:t>.</w:t>
            </w:r>
            <w:r w:rsidRPr="00F66278">
              <w:rPr>
                <w:rFonts w:cs="Calibri"/>
                <w:color w:val="172B4D"/>
              </w:rPr>
              <w:t>3</w:t>
            </w:r>
          </w:p>
        </w:tc>
        <w:tc>
          <w:tcPr>
            <w:tcW w:w="513" w:type="pct"/>
            <w:tcBorders>
              <w:top w:val="nil"/>
              <w:left w:val="nil"/>
              <w:bottom w:val="single" w:sz="4" w:space="0" w:color="auto"/>
              <w:right w:val="single" w:sz="4" w:space="0" w:color="auto"/>
            </w:tcBorders>
            <w:shd w:val="clear" w:color="000000" w:fill="FFFFFF"/>
            <w:noWrap/>
            <w:vAlign w:val="center"/>
            <w:hideMark/>
          </w:tcPr>
          <w:p w14:paraId="618846C3" w14:textId="46FD5F3A"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3</w:t>
            </w:r>
          </w:p>
        </w:tc>
        <w:tc>
          <w:tcPr>
            <w:tcW w:w="515" w:type="pct"/>
            <w:tcBorders>
              <w:top w:val="nil"/>
              <w:left w:val="nil"/>
              <w:bottom w:val="single" w:sz="4" w:space="0" w:color="auto"/>
              <w:right w:val="single" w:sz="4" w:space="0" w:color="auto"/>
            </w:tcBorders>
            <w:shd w:val="clear" w:color="000000" w:fill="FFFFFF"/>
            <w:noWrap/>
            <w:vAlign w:val="center"/>
            <w:hideMark/>
          </w:tcPr>
          <w:p w14:paraId="440F8793" w14:textId="51693720"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7</w:t>
            </w:r>
          </w:p>
        </w:tc>
        <w:tc>
          <w:tcPr>
            <w:tcW w:w="588" w:type="pct"/>
            <w:tcBorders>
              <w:top w:val="nil"/>
              <w:left w:val="nil"/>
              <w:bottom w:val="single" w:sz="4" w:space="0" w:color="auto"/>
              <w:right w:val="single" w:sz="4" w:space="0" w:color="auto"/>
            </w:tcBorders>
            <w:shd w:val="clear" w:color="000000" w:fill="FFFFFF"/>
            <w:noWrap/>
            <w:vAlign w:val="center"/>
            <w:hideMark/>
          </w:tcPr>
          <w:p w14:paraId="22D0D8FD" w14:textId="341131C7" w:rsidR="00EC2495" w:rsidRPr="00F66278" w:rsidRDefault="00EC2495" w:rsidP="00EC2495">
            <w:pPr>
              <w:jc w:val="center"/>
              <w:rPr>
                <w:rFonts w:cs="Calibri"/>
                <w:color w:val="172B4D"/>
              </w:rPr>
            </w:pPr>
            <w:r w:rsidRPr="00F66278">
              <w:rPr>
                <w:rFonts w:cs="Calibri"/>
                <w:color w:val="172B4D"/>
              </w:rPr>
              <w:t>2</w:t>
            </w:r>
            <w:r w:rsidR="001E2410">
              <w:rPr>
                <w:rFonts w:cs="Calibri"/>
                <w:color w:val="172B4D"/>
              </w:rPr>
              <w:t>.</w:t>
            </w:r>
            <w:r w:rsidRPr="00F66278">
              <w:rPr>
                <w:rFonts w:cs="Calibri"/>
                <w:color w:val="172B4D"/>
              </w:rPr>
              <w:t>2</w:t>
            </w:r>
          </w:p>
        </w:tc>
      </w:tr>
      <w:tr w:rsidR="004D5C07" w:rsidRPr="00E129D9" w14:paraId="613488F8" w14:textId="77777777" w:rsidTr="004D5C07">
        <w:trPr>
          <w:trHeight w:val="510"/>
        </w:trPr>
        <w:tc>
          <w:tcPr>
            <w:tcW w:w="1844" w:type="pct"/>
            <w:tcBorders>
              <w:top w:val="nil"/>
              <w:left w:val="single" w:sz="4" w:space="0" w:color="auto"/>
              <w:bottom w:val="single" w:sz="4" w:space="0" w:color="auto"/>
              <w:right w:val="single" w:sz="4" w:space="0" w:color="auto"/>
            </w:tcBorders>
            <w:shd w:val="clear" w:color="000000" w:fill="FFFFFF"/>
            <w:vAlign w:val="center"/>
            <w:hideMark/>
          </w:tcPr>
          <w:p w14:paraId="2DD981A8"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Craft and related trades workers</w:t>
            </w:r>
          </w:p>
        </w:tc>
        <w:tc>
          <w:tcPr>
            <w:tcW w:w="513" w:type="pct"/>
            <w:tcBorders>
              <w:top w:val="nil"/>
              <w:left w:val="nil"/>
              <w:bottom w:val="single" w:sz="4" w:space="0" w:color="auto"/>
              <w:right w:val="single" w:sz="4" w:space="0" w:color="auto"/>
            </w:tcBorders>
            <w:shd w:val="clear" w:color="000000" w:fill="FFFFFF"/>
            <w:noWrap/>
            <w:vAlign w:val="center"/>
            <w:hideMark/>
          </w:tcPr>
          <w:p w14:paraId="0C4FC4B4" w14:textId="6F1A924A"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0</w:t>
            </w:r>
          </w:p>
        </w:tc>
        <w:tc>
          <w:tcPr>
            <w:tcW w:w="513" w:type="pct"/>
            <w:tcBorders>
              <w:top w:val="nil"/>
              <w:left w:val="nil"/>
              <w:bottom w:val="single" w:sz="4" w:space="0" w:color="auto"/>
              <w:right w:val="single" w:sz="4" w:space="0" w:color="auto"/>
            </w:tcBorders>
            <w:shd w:val="clear" w:color="000000" w:fill="FFFFFF"/>
            <w:noWrap/>
            <w:vAlign w:val="center"/>
            <w:hideMark/>
          </w:tcPr>
          <w:p w14:paraId="6B39E97B" w14:textId="4DD87B0D"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2</w:t>
            </w:r>
          </w:p>
        </w:tc>
        <w:tc>
          <w:tcPr>
            <w:tcW w:w="513" w:type="pct"/>
            <w:tcBorders>
              <w:top w:val="nil"/>
              <w:left w:val="nil"/>
              <w:bottom w:val="single" w:sz="4" w:space="0" w:color="auto"/>
              <w:right w:val="single" w:sz="4" w:space="0" w:color="auto"/>
            </w:tcBorders>
            <w:shd w:val="clear" w:color="000000" w:fill="FFFFFF"/>
            <w:noWrap/>
            <w:vAlign w:val="center"/>
            <w:hideMark/>
          </w:tcPr>
          <w:p w14:paraId="27BF0773" w14:textId="5A5B206C" w:rsidR="00EC2495" w:rsidRPr="00F66278" w:rsidRDefault="00EC2495" w:rsidP="00EC2495">
            <w:pPr>
              <w:jc w:val="center"/>
              <w:rPr>
                <w:rFonts w:cs="Calibri"/>
                <w:color w:val="172B4D"/>
              </w:rPr>
            </w:pPr>
            <w:r w:rsidRPr="00F66278">
              <w:rPr>
                <w:rFonts w:cs="Calibri"/>
                <w:color w:val="172B4D"/>
              </w:rPr>
              <w:t>2</w:t>
            </w:r>
            <w:r w:rsidR="001E2410">
              <w:rPr>
                <w:rFonts w:cs="Calibri"/>
                <w:color w:val="172B4D"/>
              </w:rPr>
              <w:t>.</w:t>
            </w:r>
            <w:r w:rsidRPr="00F66278">
              <w:rPr>
                <w:rFonts w:cs="Calibri"/>
                <w:color w:val="172B4D"/>
              </w:rPr>
              <w:t>1</w:t>
            </w:r>
          </w:p>
        </w:tc>
        <w:tc>
          <w:tcPr>
            <w:tcW w:w="513" w:type="pct"/>
            <w:tcBorders>
              <w:top w:val="nil"/>
              <w:left w:val="nil"/>
              <w:bottom w:val="single" w:sz="4" w:space="0" w:color="auto"/>
              <w:right w:val="single" w:sz="4" w:space="0" w:color="auto"/>
            </w:tcBorders>
            <w:shd w:val="clear" w:color="000000" w:fill="FFFFFF"/>
            <w:noWrap/>
            <w:vAlign w:val="center"/>
            <w:hideMark/>
          </w:tcPr>
          <w:p w14:paraId="668D92AD" w14:textId="5B96F5A7"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1</w:t>
            </w:r>
          </w:p>
        </w:tc>
        <w:tc>
          <w:tcPr>
            <w:tcW w:w="515" w:type="pct"/>
            <w:tcBorders>
              <w:top w:val="nil"/>
              <w:left w:val="nil"/>
              <w:bottom w:val="single" w:sz="4" w:space="0" w:color="auto"/>
              <w:right w:val="single" w:sz="4" w:space="0" w:color="auto"/>
            </w:tcBorders>
            <w:shd w:val="clear" w:color="000000" w:fill="FFFFFF"/>
            <w:noWrap/>
            <w:vAlign w:val="center"/>
            <w:hideMark/>
          </w:tcPr>
          <w:p w14:paraId="6040F720" w14:textId="3EC38750"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3</w:t>
            </w:r>
          </w:p>
        </w:tc>
        <w:tc>
          <w:tcPr>
            <w:tcW w:w="588" w:type="pct"/>
            <w:tcBorders>
              <w:top w:val="nil"/>
              <w:left w:val="nil"/>
              <w:bottom w:val="single" w:sz="4" w:space="0" w:color="auto"/>
              <w:right w:val="single" w:sz="4" w:space="0" w:color="auto"/>
            </w:tcBorders>
            <w:shd w:val="clear" w:color="000000" w:fill="FFFFFF"/>
            <w:noWrap/>
            <w:vAlign w:val="center"/>
            <w:hideMark/>
          </w:tcPr>
          <w:p w14:paraId="37555F44" w14:textId="7D3D7731"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4</w:t>
            </w:r>
          </w:p>
        </w:tc>
      </w:tr>
      <w:tr w:rsidR="004D5C07" w:rsidRPr="00E129D9" w14:paraId="2A56268C" w14:textId="77777777" w:rsidTr="004D5C07">
        <w:trPr>
          <w:trHeight w:val="510"/>
        </w:trPr>
        <w:tc>
          <w:tcPr>
            <w:tcW w:w="1844" w:type="pct"/>
            <w:tcBorders>
              <w:top w:val="nil"/>
              <w:left w:val="single" w:sz="4" w:space="0" w:color="auto"/>
              <w:bottom w:val="single" w:sz="4" w:space="0" w:color="auto"/>
              <w:right w:val="single" w:sz="4" w:space="0" w:color="auto"/>
            </w:tcBorders>
            <w:shd w:val="clear" w:color="000000" w:fill="FFFFFF"/>
            <w:vAlign w:val="center"/>
            <w:hideMark/>
          </w:tcPr>
          <w:p w14:paraId="3777870F"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Elementary occupations</w:t>
            </w:r>
          </w:p>
        </w:tc>
        <w:tc>
          <w:tcPr>
            <w:tcW w:w="513" w:type="pct"/>
            <w:tcBorders>
              <w:top w:val="nil"/>
              <w:left w:val="nil"/>
              <w:bottom w:val="single" w:sz="4" w:space="0" w:color="auto"/>
              <w:right w:val="single" w:sz="4" w:space="0" w:color="auto"/>
            </w:tcBorders>
            <w:shd w:val="clear" w:color="000000" w:fill="FFFFFF"/>
            <w:noWrap/>
            <w:vAlign w:val="center"/>
            <w:hideMark/>
          </w:tcPr>
          <w:p w14:paraId="7F8512AD" w14:textId="74736C8F"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4</w:t>
            </w:r>
          </w:p>
        </w:tc>
        <w:tc>
          <w:tcPr>
            <w:tcW w:w="513" w:type="pct"/>
            <w:tcBorders>
              <w:top w:val="nil"/>
              <w:left w:val="nil"/>
              <w:bottom w:val="single" w:sz="4" w:space="0" w:color="auto"/>
              <w:right w:val="single" w:sz="4" w:space="0" w:color="auto"/>
            </w:tcBorders>
            <w:shd w:val="clear" w:color="000000" w:fill="FFFFFF"/>
            <w:noWrap/>
            <w:vAlign w:val="center"/>
            <w:hideMark/>
          </w:tcPr>
          <w:p w14:paraId="2F2A7AF3" w14:textId="487BB793"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3</w:t>
            </w:r>
          </w:p>
        </w:tc>
        <w:tc>
          <w:tcPr>
            <w:tcW w:w="513" w:type="pct"/>
            <w:tcBorders>
              <w:top w:val="nil"/>
              <w:left w:val="nil"/>
              <w:bottom w:val="single" w:sz="4" w:space="0" w:color="auto"/>
              <w:right w:val="single" w:sz="4" w:space="0" w:color="auto"/>
            </w:tcBorders>
            <w:shd w:val="clear" w:color="000000" w:fill="FFFFFF"/>
            <w:noWrap/>
            <w:vAlign w:val="center"/>
            <w:hideMark/>
          </w:tcPr>
          <w:p w14:paraId="0BBB78BF" w14:textId="69D345CF" w:rsidR="00EC2495" w:rsidRPr="00F66278" w:rsidRDefault="00EC2495" w:rsidP="00EC2495">
            <w:pPr>
              <w:jc w:val="center"/>
              <w:rPr>
                <w:rFonts w:cs="Calibri"/>
                <w:color w:val="172B4D"/>
              </w:rPr>
            </w:pPr>
            <w:r w:rsidRPr="00F66278">
              <w:rPr>
                <w:rFonts w:cs="Calibri"/>
                <w:color w:val="172B4D"/>
              </w:rPr>
              <w:t>2</w:t>
            </w:r>
            <w:r w:rsidR="001E2410">
              <w:rPr>
                <w:rFonts w:cs="Calibri"/>
                <w:color w:val="172B4D"/>
              </w:rPr>
              <w:t>.</w:t>
            </w:r>
            <w:r w:rsidRPr="00F66278">
              <w:rPr>
                <w:rFonts w:cs="Calibri"/>
                <w:color w:val="172B4D"/>
              </w:rPr>
              <w:t>8</w:t>
            </w:r>
          </w:p>
        </w:tc>
        <w:tc>
          <w:tcPr>
            <w:tcW w:w="513" w:type="pct"/>
            <w:tcBorders>
              <w:top w:val="nil"/>
              <w:left w:val="nil"/>
              <w:bottom w:val="single" w:sz="4" w:space="0" w:color="auto"/>
              <w:right w:val="single" w:sz="4" w:space="0" w:color="auto"/>
            </w:tcBorders>
            <w:shd w:val="clear" w:color="000000" w:fill="FFFFFF"/>
            <w:noWrap/>
            <w:vAlign w:val="center"/>
            <w:hideMark/>
          </w:tcPr>
          <w:p w14:paraId="32140144" w14:textId="0C4BBA62"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6</w:t>
            </w:r>
          </w:p>
        </w:tc>
        <w:tc>
          <w:tcPr>
            <w:tcW w:w="515" w:type="pct"/>
            <w:tcBorders>
              <w:top w:val="nil"/>
              <w:left w:val="nil"/>
              <w:bottom w:val="single" w:sz="4" w:space="0" w:color="auto"/>
              <w:right w:val="single" w:sz="4" w:space="0" w:color="auto"/>
            </w:tcBorders>
            <w:shd w:val="clear" w:color="000000" w:fill="FFFFFF"/>
            <w:noWrap/>
            <w:vAlign w:val="center"/>
            <w:hideMark/>
          </w:tcPr>
          <w:p w14:paraId="44816B4A" w14:textId="587F08D4"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7</w:t>
            </w:r>
          </w:p>
        </w:tc>
        <w:tc>
          <w:tcPr>
            <w:tcW w:w="588" w:type="pct"/>
            <w:tcBorders>
              <w:top w:val="nil"/>
              <w:left w:val="nil"/>
              <w:bottom w:val="single" w:sz="4" w:space="0" w:color="auto"/>
              <w:right w:val="single" w:sz="4" w:space="0" w:color="auto"/>
            </w:tcBorders>
            <w:shd w:val="clear" w:color="000000" w:fill="FFFFFF"/>
            <w:noWrap/>
            <w:vAlign w:val="center"/>
            <w:hideMark/>
          </w:tcPr>
          <w:p w14:paraId="33FDCAB4" w14:textId="567F311A"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7</w:t>
            </w:r>
          </w:p>
        </w:tc>
      </w:tr>
      <w:tr w:rsidR="004D5C07" w:rsidRPr="00E129D9" w14:paraId="4A8F1628" w14:textId="77777777" w:rsidTr="004D5C07">
        <w:trPr>
          <w:trHeight w:val="510"/>
        </w:trPr>
        <w:tc>
          <w:tcPr>
            <w:tcW w:w="1844" w:type="pct"/>
            <w:tcBorders>
              <w:top w:val="nil"/>
              <w:left w:val="single" w:sz="4" w:space="0" w:color="auto"/>
              <w:bottom w:val="single" w:sz="4" w:space="0" w:color="auto"/>
              <w:right w:val="single" w:sz="4" w:space="0" w:color="auto"/>
            </w:tcBorders>
            <w:shd w:val="clear" w:color="000000" w:fill="FFFFFF"/>
            <w:vAlign w:val="center"/>
            <w:hideMark/>
          </w:tcPr>
          <w:p w14:paraId="46118374"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Managers</w:t>
            </w:r>
          </w:p>
        </w:tc>
        <w:tc>
          <w:tcPr>
            <w:tcW w:w="513" w:type="pct"/>
            <w:tcBorders>
              <w:top w:val="nil"/>
              <w:left w:val="nil"/>
              <w:bottom w:val="single" w:sz="4" w:space="0" w:color="auto"/>
              <w:right w:val="single" w:sz="4" w:space="0" w:color="auto"/>
            </w:tcBorders>
            <w:shd w:val="clear" w:color="000000" w:fill="FFFFFF"/>
            <w:noWrap/>
            <w:vAlign w:val="center"/>
            <w:hideMark/>
          </w:tcPr>
          <w:p w14:paraId="28ECD4A1" w14:textId="4BE24614" w:rsidR="00EC2495" w:rsidRPr="00F66278" w:rsidRDefault="00EC2495" w:rsidP="00EC2495">
            <w:pPr>
              <w:jc w:val="center"/>
              <w:rPr>
                <w:rFonts w:cs="Calibri"/>
                <w:color w:val="172B4D"/>
              </w:rPr>
            </w:pPr>
            <w:r w:rsidRPr="00F66278">
              <w:rPr>
                <w:rFonts w:cs="Calibri"/>
                <w:color w:val="172B4D"/>
              </w:rPr>
              <w:t>3</w:t>
            </w:r>
            <w:r w:rsidR="001E2410">
              <w:rPr>
                <w:rFonts w:cs="Calibri"/>
                <w:color w:val="172B4D"/>
              </w:rPr>
              <w:t>.</w:t>
            </w:r>
            <w:r w:rsidRPr="00F66278">
              <w:rPr>
                <w:rFonts w:cs="Calibri"/>
                <w:color w:val="172B4D"/>
              </w:rPr>
              <w:t>2</w:t>
            </w:r>
          </w:p>
        </w:tc>
        <w:tc>
          <w:tcPr>
            <w:tcW w:w="513" w:type="pct"/>
            <w:tcBorders>
              <w:top w:val="nil"/>
              <w:left w:val="nil"/>
              <w:bottom w:val="single" w:sz="4" w:space="0" w:color="auto"/>
              <w:right w:val="single" w:sz="4" w:space="0" w:color="auto"/>
            </w:tcBorders>
            <w:shd w:val="clear" w:color="000000" w:fill="FFFFFF"/>
            <w:noWrap/>
            <w:vAlign w:val="center"/>
            <w:hideMark/>
          </w:tcPr>
          <w:p w14:paraId="20A5F603" w14:textId="297BE4A9" w:rsidR="00EC2495" w:rsidRPr="00F66278" w:rsidRDefault="00EC2495" w:rsidP="00EC2495">
            <w:pPr>
              <w:jc w:val="center"/>
              <w:rPr>
                <w:rFonts w:cs="Calibri"/>
                <w:color w:val="172B4D"/>
              </w:rPr>
            </w:pPr>
            <w:r w:rsidRPr="00F66278">
              <w:rPr>
                <w:rFonts w:cs="Calibri"/>
                <w:color w:val="172B4D"/>
              </w:rPr>
              <w:t>4</w:t>
            </w:r>
            <w:r w:rsidR="001E2410">
              <w:rPr>
                <w:rFonts w:cs="Calibri"/>
                <w:color w:val="172B4D"/>
              </w:rPr>
              <w:t>.</w:t>
            </w:r>
            <w:r w:rsidRPr="00F66278">
              <w:rPr>
                <w:rFonts w:cs="Calibri"/>
                <w:color w:val="172B4D"/>
              </w:rPr>
              <w:t>4</w:t>
            </w:r>
          </w:p>
        </w:tc>
        <w:tc>
          <w:tcPr>
            <w:tcW w:w="513" w:type="pct"/>
            <w:tcBorders>
              <w:top w:val="nil"/>
              <w:left w:val="nil"/>
              <w:bottom w:val="single" w:sz="4" w:space="0" w:color="auto"/>
              <w:right w:val="single" w:sz="4" w:space="0" w:color="auto"/>
            </w:tcBorders>
            <w:shd w:val="clear" w:color="000000" w:fill="FFFFFF"/>
            <w:noWrap/>
            <w:vAlign w:val="center"/>
            <w:hideMark/>
          </w:tcPr>
          <w:p w14:paraId="19DB9C8C" w14:textId="43D27F4B" w:rsidR="00EC2495" w:rsidRPr="00F66278" w:rsidRDefault="00EC2495" w:rsidP="00EC2495">
            <w:pPr>
              <w:jc w:val="center"/>
              <w:rPr>
                <w:rFonts w:cs="Calibri"/>
                <w:color w:val="172B4D"/>
              </w:rPr>
            </w:pPr>
            <w:r w:rsidRPr="00F66278">
              <w:rPr>
                <w:rFonts w:cs="Calibri"/>
                <w:color w:val="172B4D"/>
              </w:rPr>
              <w:t>6</w:t>
            </w:r>
            <w:r w:rsidR="001E2410">
              <w:rPr>
                <w:rFonts w:cs="Calibri"/>
                <w:color w:val="172B4D"/>
              </w:rPr>
              <w:t>.</w:t>
            </w:r>
            <w:r w:rsidRPr="00F66278">
              <w:rPr>
                <w:rFonts w:cs="Calibri"/>
                <w:color w:val="172B4D"/>
              </w:rPr>
              <w:t>0</w:t>
            </w:r>
          </w:p>
        </w:tc>
        <w:tc>
          <w:tcPr>
            <w:tcW w:w="513" w:type="pct"/>
            <w:tcBorders>
              <w:top w:val="nil"/>
              <w:left w:val="nil"/>
              <w:bottom w:val="single" w:sz="4" w:space="0" w:color="auto"/>
              <w:right w:val="single" w:sz="4" w:space="0" w:color="auto"/>
            </w:tcBorders>
            <w:shd w:val="clear" w:color="000000" w:fill="FFFFFF"/>
            <w:noWrap/>
            <w:vAlign w:val="center"/>
            <w:hideMark/>
          </w:tcPr>
          <w:p w14:paraId="191156F7" w14:textId="70710215" w:rsidR="00EC2495" w:rsidRPr="00F66278" w:rsidRDefault="00EC2495" w:rsidP="00EC2495">
            <w:pPr>
              <w:jc w:val="center"/>
              <w:rPr>
                <w:rFonts w:cs="Calibri"/>
                <w:color w:val="172B4D"/>
              </w:rPr>
            </w:pPr>
            <w:r w:rsidRPr="00F66278">
              <w:rPr>
                <w:rFonts w:cs="Calibri"/>
                <w:color w:val="172B4D"/>
              </w:rPr>
              <w:t>3</w:t>
            </w:r>
            <w:r w:rsidR="001E2410">
              <w:rPr>
                <w:rFonts w:cs="Calibri"/>
                <w:color w:val="172B4D"/>
              </w:rPr>
              <w:t>.</w:t>
            </w:r>
            <w:r w:rsidRPr="00F66278">
              <w:rPr>
                <w:rFonts w:cs="Calibri"/>
                <w:color w:val="172B4D"/>
              </w:rPr>
              <w:t>7</w:t>
            </w:r>
          </w:p>
        </w:tc>
        <w:tc>
          <w:tcPr>
            <w:tcW w:w="515" w:type="pct"/>
            <w:tcBorders>
              <w:top w:val="nil"/>
              <w:left w:val="nil"/>
              <w:bottom w:val="single" w:sz="4" w:space="0" w:color="auto"/>
              <w:right w:val="single" w:sz="4" w:space="0" w:color="auto"/>
            </w:tcBorders>
            <w:shd w:val="clear" w:color="000000" w:fill="FFFFFF"/>
            <w:noWrap/>
            <w:vAlign w:val="center"/>
            <w:hideMark/>
          </w:tcPr>
          <w:p w14:paraId="49420CBC" w14:textId="09135345" w:rsidR="00EC2495" w:rsidRPr="00F66278" w:rsidRDefault="00EC2495" w:rsidP="00EC2495">
            <w:pPr>
              <w:jc w:val="center"/>
              <w:rPr>
                <w:rFonts w:cs="Calibri"/>
                <w:color w:val="172B4D"/>
              </w:rPr>
            </w:pPr>
            <w:r w:rsidRPr="00F66278">
              <w:rPr>
                <w:rFonts w:cs="Calibri"/>
                <w:color w:val="172B4D"/>
              </w:rPr>
              <w:t>4</w:t>
            </w:r>
            <w:r w:rsidR="001E2410">
              <w:rPr>
                <w:rFonts w:cs="Calibri"/>
                <w:color w:val="172B4D"/>
              </w:rPr>
              <w:t>.</w:t>
            </w:r>
            <w:r w:rsidRPr="00F66278">
              <w:rPr>
                <w:rFonts w:cs="Calibri"/>
                <w:color w:val="172B4D"/>
              </w:rPr>
              <w:t>8</w:t>
            </w:r>
          </w:p>
        </w:tc>
        <w:tc>
          <w:tcPr>
            <w:tcW w:w="588" w:type="pct"/>
            <w:tcBorders>
              <w:top w:val="nil"/>
              <w:left w:val="nil"/>
              <w:bottom w:val="single" w:sz="4" w:space="0" w:color="auto"/>
              <w:right w:val="single" w:sz="4" w:space="0" w:color="auto"/>
            </w:tcBorders>
            <w:shd w:val="clear" w:color="000000" w:fill="FFFFFF"/>
            <w:noWrap/>
            <w:vAlign w:val="center"/>
            <w:hideMark/>
          </w:tcPr>
          <w:p w14:paraId="05EF5B52" w14:textId="2FD40EA5" w:rsidR="00EC2495" w:rsidRPr="00F66278" w:rsidRDefault="00EC2495" w:rsidP="00EC2495">
            <w:pPr>
              <w:jc w:val="center"/>
              <w:rPr>
                <w:rFonts w:cs="Calibri"/>
                <w:color w:val="172B4D"/>
              </w:rPr>
            </w:pPr>
            <w:r w:rsidRPr="00F66278">
              <w:rPr>
                <w:rFonts w:cs="Calibri"/>
                <w:color w:val="172B4D"/>
              </w:rPr>
              <w:t>6</w:t>
            </w:r>
            <w:r w:rsidR="001E2410">
              <w:rPr>
                <w:rFonts w:cs="Calibri"/>
                <w:color w:val="172B4D"/>
              </w:rPr>
              <w:t>.</w:t>
            </w:r>
            <w:r w:rsidRPr="00F66278">
              <w:rPr>
                <w:rFonts w:cs="Calibri"/>
                <w:color w:val="172B4D"/>
              </w:rPr>
              <w:t>5</w:t>
            </w:r>
          </w:p>
        </w:tc>
      </w:tr>
      <w:tr w:rsidR="004D5C07" w:rsidRPr="00E129D9" w14:paraId="5FBE13B5" w14:textId="77777777" w:rsidTr="004D5C07">
        <w:trPr>
          <w:trHeight w:val="510"/>
        </w:trPr>
        <w:tc>
          <w:tcPr>
            <w:tcW w:w="1844" w:type="pct"/>
            <w:tcBorders>
              <w:top w:val="nil"/>
              <w:left w:val="single" w:sz="4" w:space="0" w:color="auto"/>
              <w:bottom w:val="single" w:sz="4" w:space="0" w:color="auto"/>
              <w:right w:val="single" w:sz="4" w:space="0" w:color="auto"/>
            </w:tcBorders>
            <w:shd w:val="clear" w:color="000000" w:fill="FFFFFF"/>
            <w:vAlign w:val="center"/>
            <w:hideMark/>
          </w:tcPr>
          <w:p w14:paraId="6E51CD4D"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Plant and machine operators, and assemblers</w:t>
            </w:r>
          </w:p>
        </w:tc>
        <w:tc>
          <w:tcPr>
            <w:tcW w:w="513" w:type="pct"/>
            <w:tcBorders>
              <w:top w:val="nil"/>
              <w:left w:val="nil"/>
              <w:bottom w:val="single" w:sz="4" w:space="0" w:color="auto"/>
              <w:right w:val="single" w:sz="4" w:space="0" w:color="auto"/>
            </w:tcBorders>
            <w:shd w:val="clear" w:color="000000" w:fill="FFFFFF"/>
            <w:noWrap/>
            <w:vAlign w:val="center"/>
            <w:hideMark/>
          </w:tcPr>
          <w:p w14:paraId="533DFBD5" w14:textId="1508C26A"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0</w:t>
            </w:r>
          </w:p>
        </w:tc>
        <w:tc>
          <w:tcPr>
            <w:tcW w:w="513" w:type="pct"/>
            <w:tcBorders>
              <w:top w:val="nil"/>
              <w:left w:val="nil"/>
              <w:bottom w:val="single" w:sz="4" w:space="0" w:color="auto"/>
              <w:right w:val="single" w:sz="4" w:space="0" w:color="auto"/>
            </w:tcBorders>
            <w:shd w:val="clear" w:color="000000" w:fill="FFFFFF"/>
            <w:noWrap/>
            <w:vAlign w:val="center"/>
            <w:hideMark/>
          </w:tcPr>
          <w:p w14:paraId="0BF2F3C6" w14:textId="6E39EC48"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1</w:t>
            </w:r>
          </w:p>
        </w:tc>
        <w:tc>
          <w:tcPr>
            <w:tcW w:w="513" w:type="pct"/>
            <w:tcBorders>
              <w:top w:val="nil"/>
              <w:left w:val="nil"/>
              <w:bottom w:val="single" w:sz="4" w:space="0" w:color="auto"/>
              <w:right w:val="single" w:sz="4" w:space="0" w:color="auto"/>
            </w:tcBorders>
            <w:shd w:val="clear" w:color="000000" w:fill="FFFFFF"/>
            <w:noWrap/>
            <w:vAlign w:val="center"/>
            <w:hideMark/>
          </w:tcPr>
          <w:p w14:paraId="027E9ACC" w14:textId="5C351765"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8</w:t>
            </w:r>
          </w:p>
        </w:tc>
        <w:tc>
          <w:tcPr>
            <w:tcW w:w="513" w:type="pct"/>
            <w:tcBorders>
              <w:top w:val="nil"/>
              <w:left w:val="nil"/>
              <w:bottom w:val="single" w:sz="4" w:space="0" w:color="auto"/>
              <w:right w:val="single" w:sz="4" w:space="0" w:color="auto"/>
            </w:tcBorders>
            <w:shd w:val="clear" w:color="000000" w:fill="FFFFFF"/>
            <w:noWrap/>
            <w:vAlign w:val="center"/>
            <w:hideMark/>
          </w:tcPr>
          <w:p w14:paraId="4E052980" w14:textId="5C49AEFB"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0</w:t>
            </w:r>
          </w:p>
        </w:tc>
        <w:tc>
          <w:tcPr>
            <w:tcW w:w="515" w:type="pct"/>
            <w:tcBorders>
              <w:top w:val="nil"/>
              <w:left w:val="nil"/>
              <w:bottom w:val="single" w:sz="4" w:space="0" w:color="auto"/>
              <w:right w:val="single" w:sz="4" w:space="0" w:color="auto"/>
            </w:tcBorders>
            <w:shd w:val="clear" w:color="000000" w:fill="FFFFFF"/>
            <w:noWrap/>
            <w:vAlign w:val="center"/>
            <w:hideMark/>
          </w:tcPr>
          <w:p w14:paraId="3715DF7B" w14:textId="2BA0DFB6"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1</w:t>
            </w:r>
          </w:p>
        </w:tc>
        <w:tc>
          <w:tcPr>
            <w:tcW w:w="588" w:type="pct"/>
            <w:tcBorders>
              <w:top w:val="nil"/>
              <w:left w:val="nil"/>
              <w:bottom w:val="single" w:sz="4" w:space="0" w:color="auto"/>
              <w:right w:val="single" w:sz="4" w:space="0" w:color="auto"/>
            </w:tcBorders>
            <w:shd w:val="clear" w:color="000000" w:fill="FFFFFF"/>
            <w:noWrap/>
            <w:vAlign w:val="center"/>
            <w:hideMark/>
          </w:tcPr>
          <w:p w14:paraId="5D2B4334" w14:textId="4F8859C5"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2</w:t>
            </w:r>
          </w:p>
        </w:tc>
      </w:tr>
      <w:tr w:rsidR="004D5C07" w:rsidRPr="00E129D9" w14:paraId="741D646F" w14:textId="77777777" w:rsidTr="004D5C07">
        <w:trPr>
          <w:trHeight w:val="510"/>
        </w:trPr>
        <w:tc>
          <w:tcPr>
            <w:tcW w:w="1844" w:type="pct"/>
            <w:tcBorders>
              <w:top w:val="nil"/>
              <w:left w:val="single" w:sz="4" w:space="0" w:color="auto"/>
              <w:bottom w:val="single" w:sz="4" w:space="0" w:color="auto"/>
              <w:right w:val="single" w:sz="4" w:space="0" w:color="auto"/>
            </w:tcBorders>
            <w:shd w:val="clear" w:color="000000" w:fill="FFFFFF"/>
            <w:noWrap/>
            <w:vAlign w:val="center"/>
            <w:hideMark/>
          </w:tcPr>
          <w:p w14:paraId="1A06DD39"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Professionals</w:t>
            </w:r>
          </w:p>
        </w:tc>
        <w:tc>
          <w:tcPr>
            <w:tcW w:w="513" w:type="pct"/>
            <w:tcBorders>
              <w:top w:val="nil"/>
              <w:left w:val="nil"/>
              <w:bottom w:val="single" w:sz="4" w:space="0" w:color="auto"/>
              <w:right w:val="single" w:sz="4" w:space="0" w:color="auto"/>
            </w:tcBorders>
            <w:shd w:val="clear" w:color="000000" w:fill="FFFFFF"/>
            <w:noWrap/>
            <w:vAlign w:val="center"/>
            <w:hideMark/>
          </w:tcPr>
          <w:p w14:paraId="14619EB7" w14:textId="44EDDC02"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7</w:t>
            </w:r>
          </w:p>
        </w:tc>
        <w:tc>
          <w:tcPr>
            <w:tcW w:w="513" w:type="pct"/>
            <w:tcBorders>
              <w:top w:val="nil"/>
              <w:left w:val="nil"/>
              <w:bottom w:val="single" w:sz="4" w:space="0" w:color="auto"/>
              <w:right w:val="single" w:sz="4" w:space="0" w:color="auto"/>
            </w:tcBorders>
            <w:shd w:val="clear" w:color="000000" w:fill="FFFFFF"/>
            <w:noWrap/>
            <w:vAlign w:val="center"/>
            <w:hideMark/>
          </w:tcPr>
          <w:p w14:paraId="00127F24" w14:textId="3F39E7AD" w:rsidR="00EC2495" w:rsidRPr="00F66278" w:rsidRDefault="00EC2495" w:rsidP="00EC2495">
            <w:pPr>
              <w:jc w:val="center"/>
              <w:rPr>
                <w:rFonts w:cs="Calibri"/>
                <w:color w:val="172B4D"/>
              </w:rPr>
            </w:pPr>
            <w:r w:rsidRPr="00F66278">
              <w:rPr>
                <w:rFonts w:cs="Calibri"/>
                <w:color w:val="172B4D"/>
              </w:rPr>
              <w:t>2</w:t>
            </w:r>
            <w:r w:rsidR="001E2410">
              <w:rPr>
                <w:rFonts w:cs="Calibri"/>
                <w:color w:val="172B4D"/>
              </w:rPr>
              <w:t>.</w:t>
            </w:r>
            <w:r w:rsidRPr="00F66278">
              <w:rPr>
                <w:rFonts w:cs="Calibri"/>
                <w:color w:val="172B4D"/>
              </w:rPr>
              <w:t>2</w:t>
            </w:r>
          </w:p>
        </w:tc>
        <w:tc>
          <w:tcPr>
            <w:tcW w:w="513" w:type="pct"/>
            <w:tcBorders>
              <w:top w:val="nil"/>
              <w:left w:val="nil"/>
              <w:bottom w:val="single" w:sz="4" w:space="0" w:color="auto"/>
              <w:right w:val="single" w:sz="4" w:space="0" w:color="auto"/>
            </w:tcBorders>
            <w:shd w:val="clear" w:color="000000" w:fill="FFFFFF"/>
            <w:noWrap/>
            <w:vAlign w:val="center"/>
            <w:hideMark/>
          </w:tcPr>
          <w:p w14:paraId="60A44571" w14:textId="78D5E542" w:rsidR="00EC2495" w:rsidRPr="00F66278" w:rsidRDefault="00EC2495" w:rsidP="00EC2495">
            <w:pPr>
              <w:jc w:val="center"/>
              <w:rPr>
                <w:rFonts w:cs="Calibri"/>
                <w:color w:val="172B4D"/>
              </w:rPr>
            </w:pPr>
            <w:r w:rsidRPr="00F66278">
              <w:rPr>
                <w:rFonts w:cs="Calibri"/>
                <w:color w:val="172B4D"/>
              </w:rPr>
              <w:t>3</w:t>
            </w:r>
            <w:r w:rsidR="001E2410">
              <w:rPr>
                <w:rFonts w:cs="Calibri"/>
                <w:color w:val="172B4D"/>
              </w:rPr>
              <w:t>.</w:t>
            </w:r>
            <w:r w:rsidRPr="00F66278">
              <w:rPr>
                <w:rFonts w:cs="Calibri"/>
                <w:color w:val="172B4D"/>
              </w:rPr>
              <w:t>2</w:t>
            </w:r>
          </w:p>
        </w:tc>
        <w:tc>
          <w:tcPr>
            <w:tcW w:w="513" w:type="pct"/>
            <w:tcBorders>
              <w:top w:val="nil"/>
              <w:left w:val="nil"/>
              <w:bottom w:val="single" w:sz="4" w:space="0" w:color="auto"/>
              <w:right w:val="single" w:sz="4" w:space="0" w:color="auto"/>
            </w:tcBorders>
            <w:shd w:val="clear" w:color="000000" w:fill="FFFFFF"/>
            <w:noWrap/>
            <w:vAlign w:val="center"/>
            <w:hideMark/>
          </w:tcPr>
          <w:p w14:paraId="1908F731" w14:textId="7CDC9BDA"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9</w:t>
            </w:r>
          </w:p>
        </w:tc>
        <w:tc>
          <w:tcPr>
            <w:tcW w:w="515" w:type="pct"/>
            <w:tcBorders>
              <w:top w:val="nil"/>
              <w:left w:val="nil"/>
              <w:bottom w:val="single" w:sz="4" w:space="0" w:color="auto"/>
              <w:right w:val="single" w:sz="4" w:space="0" w:color="auto"/>
            </w:tcBorders>
            <w:shd w:val="clear" w:color="000000" w:fill="FFFFFF"/>
            <w:noWrap/>
            <w:vAlign w:val="center"/>
            <w:hideMark/>
          </w:tcPr>
          <w:p w14:paraId="07FFCC93" w14:textId="4DB4587F" w:rsidR="00EC2495" w:rsidRPr="00F66278" w:rsidRDefault="00EC2495" w:rsidP="00EC2495">
            <w:pPr>
              <w:jc w:val="center"/>
              <w:rPr>
                <w:rFonts w:cs="Calibri"/>
                <w:color w:val="172B4D"/>
              </w:rPr>
            </w:pPr>
            <w:r w:rsidRPr="00F66278">
              <w:rPr>
                <w:rFonts w:cs="Calibri"/>
                <w:color w:val="172B4D"/>
              </w:rPr>
              <w:t>2</w:t>
            </w:r>
            <w:r w:rsidR="001E2410">
              <w:rPr>
                <w:rFonts w:cs="Calibri"/>
                <w:color w:val="172B4D"/>
              </w:rPr>
              <w:t>.</w:t>
            </w:r>
            <w:r w:rsidRPr="00F66278">
              <w:rPr>
                <w:rFonts w:cs="Calibri"/>
                <w:color w:val="172B4D"/>
              </w:rPr>
              <w:t>9</w:t>
            </w:r>
          </w:p>
        </w:tc>
        <w:tc>
          <w:tcPr>
            <w:tcW w:w="588" w:type="pct"/>
            <w:tcBorders>
              <w:top w:val="nil"/>
              <w:left w:val="nil"/>
              <w:bottom w:val="single" w:sz="4" w:space="0" w:color="auto"/>
              <w:right w:val="single" w:sz="4" w:space="0" w:color="auto"/>
            </w:tcBorders>
            <w:shd w:val="clear" w:color="000000" w:fill="FFFFFF"/>
            <w:noWrap/>
            <w:vAlign w:val="center"/>
            <w:hideMark/>
          </w:tcPr>
          <w:p w14:paraId="7B57D899" w14:textId="7F624D23" w:rsidR="00EC2495" w:rsidRPr="00F66278" w:rsidRDefault="00EC2495" w:rsidP="00EC2495">
            <w:pPr>
              <w:jc w:val="center"/>
              <w:rPr>
                <w:rFonts w:cs="Calibri"/>
                <w:color w:val="172B4D"/>
              </w:rPr>
            </w:pPr>
            <w:r w:rsidRPr="00F66278">
              <w:rPr>
                <w:rFonts w:cs="Calibri"/>
                <w:color w:val="172B4D"/>
              </w:rPr>
              <w:t>3</w:t>
            </w:r>
            <w:r w:rsidR="001E2410">
              <w:rPr>
                <w:rFonts w:cs="Calibri"/>
                <w:color w:val="172B4D"/>
              </w:rPr>
              <w:t>.</w:t>
            </w:r>
            <w:r w:rsidRPr="00F66278">
              <w:rPr>
                <w:rFonts w:cs="Calibri"/>
                <w:color w:val="172B4D"/>
              </w:rPr>
              <w:t>7</w:t>
            </w:r>
          </w:p>
        </w:tc>
      </w:tr>
      <w:tr w:rsidR="004D5C07" w:rsidRPr="00E129D9" w14:paraId="0BE6A48E" w14:textId="77777777" w:rsidTr="004D5C07">
        <w:trPr>
          <w:trHeight w:val="510"/>
        </w:trPr>
        <w:tc>
          <w:tcPr>
            <w:tcW w:w="1844" w:type="pct"/>
            <w:tcBorders>
              <w:top w:val="nil"/>
              <w:left w:val="single" w:sz="4" w:space="0" w:color="auto"/>
              <w:bottom w:val="single" w:sz="4" w:space="0" w:color="auto"/>
              <w:right w:val="single" w:sz="4" w:space="0" w:color="auto"/>
            </w:tcBorders>
            <w:shd w:val="clear" w:color="000000" w:fill="FFFFFF"/>
            <w:vAlign w:val="center"/>
            <w:hideMark/>
          </w:tcPr>
          <w:p w14:paraId="26A2E419"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Service and sales workers</w:t>
            </w:r>
          </w:p>
        </w:tc>
        <w:tc>
          <w:tcPr>
            <w:tcW w:w="513" w:type="pct"/>
            <w:tcBorders>
              <w:top w:val="nil"/>
              <w:left w:val="nil"/>
              <w:bottom w:val="single" w:sz="4" w:space="0" w:color="auto"/>
              <w:right w:val="single" w:sz="4" w:space="0" w:color="auto"/>
            </w:tcBorders>
            <w:shd w:val="clear" w:color="000000" w:fill="FFFFFF"/>
            <w:noWrap/>
            <w:vAlign w:val="center"/>
            <w:hideMark/>
          </w:tcPr>
          <w:p w14:paraId="52154A9A" w14:textId="2FF7E4F3"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0</w:t>
            </w:r>
          </w:p>
        </w:tc>
        <w:tc>
          <w:tcPr>
            <w:tcW w:w="513" w:type="pct"/>
            <w:tcBorders>
              <w:top w:val="nil"/>
              <w:left w:val="nil"/>
              <w:bottom w:val="single" w:sz="4" w:space="0" w:color="auto"/>
              <w:right w:val="single" w:sz="4" w:space="0" w:color="auto"/>
            </w:tcBorders>
            <w:shd w:val="clear" w:color="000000" w:fill="FFFFFF"/>
            <w:noWrap/>
            <w:vAlign w:val="center"/>
            <w:hideMark/>
          </w:tcPr>
          <w:p w14:paraId="15DBE6A4" w14:textId="138999A5"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0</w:t>
            </w:r>
          </w:p>
        </w:tc>
        <w:tc>
          <w:tcPr>
            <w:tcW w:w="513" w:type="pct"/>
            <w:tcBorders>
              <w:top w:val="nil"/>
              <w:left w:val="nil"/>
              <w:bottom w:val="single" w:sz="4" w:space="0" w:color="auto"/>
              <w:right w:val="single" w:sz="4" w:space="0" w:color="auto"/>
            </w:tcBorders>
            <w:shd w:val="clear" w:color="000000" w:fill="FFFFFF"/>
            <w:noWrap/>
            <w:vAlign w:val="center"/>
            <w:hideMark/>
          </w:tcPr>
          <w:p w14:paraId="302BDC40" w14:textId="1AD8C96C"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5</w:t>
            </w:r>
          </w:p>
        </w:tc>
        <w:tc>
          <w:tcPr>
            <w:tcW w:w="513" w:type="pct"/>
            <w:tcBorders>
              <w:top w:val="nil"/>
              <w:left w:val="nil"/>
              <w:bottom w:val="single" w:sz="4" w:space="0" w:color="auto"/>
              <w:right w:val="single" w:sz="4" w:space="0" w:color="auto"/>
            </w:tcBorders>
            <w:shd w:val="clear" w:color="000000" w:fill="FFFFFF"/>
            <w:noWrap/>
            <w:vAlign w:val="center"/>
            <w:hideMark/>
          </w:tcPr>
          <w:p w14:paraId="1DAD3F58" w14:textId="5A1CD120" w:rsidR="00EC2495" w:rsidRPr="00F66278" w:rsidRDefault="00EC2495" w:rsidP="00EC2495">
            <w:pPr>
              <w:jc w:val="center"/>
              <w:rPr>
                <w:rFonts w:cs="Calibri"/>
                <w:color w:val="172B4D"/>
              </w:rPr>
            </w:pPr>
            <w:r w:rsidRPr="00F66278">
              <w:rPr>
                <w:rFonts w:cs="Calibri"/>
                <w:color w:val="172B4D"/>
              </w:rPr>
              <w:t>0</w:t>
            </w:r>
            <w:r w:rsidR="001E2410">
              <w:rPr>
                <w:rFonts w:cs="Calibri"/>
                <w:color w:val="172B4D"/>
              </w:rPr>
              <w:t>.</w:t>
            </w:r>
            <w:r w:rsidRPr="00F66278">
              <w:rPr>
                <w:rFonts w:cs="Calibri"/>
                <w:color w:val="172B4D"/>
              </w:rPr>
              <w:t>9</w:t>
            </w:r>
          </w:p>
        </w:tc>
        <w:tc>
          <w:tcPr>
            <w:tcW w:w="515" w:type="pct"/>
            <w:tcBorders>
              <w:top w:val="nil"/>
              <w:left w:val="nil"/>
              <w:bottom w:val="single" w:sz="4" w:space="0" w:color="auto"/>
              <w:right w:val="single" w:sz="4" w:space="0" w:color="auto"/>
            </w:tcBorders>
            <w:shd w:val="clear" w:color="000000" w:fill="FFFFFF"/>
            <w:noWrap/>
            <w:vAlign w:val="center"/>
            <w:hideMark/>
          </w:tcPr>
          <w:p w14:paraId="1A63E05F" w14:textId="09314005"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1</w:t>
            </w:r>
          </w:p>
        </w:tc>
        <w:tc>
          <w:tcPr>
            <w:tcW w:w="588" w:type="pct"/>
            <w:tcBorders>
              <w:top w:val="nil"/>
              <w:left w:val="nil"/>
              <w:bottom w:val="single" w:sz="4" w:space="0" w:color="auto"/>
              <w:right w:val="single" w:sz="4" w:space="0" w:color="auto"/>
            </w:tcBorders>
            <w:shd w:val="clear" w:color="000000" w:fill="FFFFFF"/>
            <w:noWrap/>
            <w:vAlign w:val="center"/>
            <w:hideMark/>
          </w:tcPr>
          <w:p w14:paraId="04A36858" w14:textId="442B7C92"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2</w:t>
            </w:r>
          </w:p>
        </w:tc>
      </w:tr>
      <w:tr w:rsidR="004D5C07" w:rsidRPr="00E129D9" w14:paraId="320431B8" w14:textId="77777777" w:rsidTr="004D5C07">
        <w:trPr>
          <w:trHeight w:val="510"/>
        </w:trPr>
        <w:tc>
          <w:tcPr>
            <w:tcW w:w="1844" w:type="pct"/>
            <w:tcBorders>
              <w:top w:val="nil"/>
              <w:left w:val="single" w:sz="4" w:space="0" w:color="auto"/>
              <w:bottom w:val="single" w:sz="4" w:space="0" w:color="auto"/>
              <w:right w:val="single" w:sz="4" w:space="0" w:color="auto"/>
            </w:tcBorders>
            <w:shd w:val="clear" w:color="000000" w:fill="FFFFFF"/>
            <w:vAlign w:val="center"/>
            <w:hideMark/>
          </w:tcPr>
          <w:p w14:paraId="2A4391FC" w14:textId="77777777" w:rsidR="00EC2495" w:rsidRPr="00F66278" w:rsidRDefault="00EC2495" w:rsidP="00EC2495">
            <w:pPr>
              <w:spacing w:after="0" w:line="240" w:lineRule="auto"/>
              <w:rPr>
                <w:rFonts w:eastAsia="Times New Roman" w:cs="Calibri"/>
                <w:color w:val="172B4D"/>
                <w:lang w:eastAsia="it-IT"/>
              </w:rPr>
            </w:pPr>
            <w:r w:rsidRPr="00F66278">
              <w:rPr>
                <w:rFonts w:eastAsia="Times New Roman" w:cs="Calibri"/>
                <w:color w:val="172B4D"/>
                <w:lang w:eastAsia="it-IT"/>
              </w:rPr>
              <w:t>Technicians and associate professionals</w:t>
            </w:r>
          </w:p>
        </w:tc>
        <w:tc>
          <w:tcPr>
            <w:tcW w:w="513" w:type="pct"/>
            <w:tcBorders>
              <w:top w:val="nil"/>
              <w:left w:val="nil"/>
              <w:bottom w:val="single" w:sz="4" w:space="0" w:color="auto"/>
              <w:right w:val="single" w:sz="4" w:space="0" w:color="auto"/>
            </w:tcBorders>
            <w:shd w:val="clear" w:color="000000" w:fill="FFFFFF"/>
            <w:noWrap/>
            <w:vAlign w:val="center"/>
            <w:hideMark/>
          </w:tcPr>
          <w:p w14:paraId="7D444570" w14:textId="42B6BBCF"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5</w:t>
            </w:r>
          </w:p>
        </w:tc>
        <w:tc>
          <w:tcPr>
            <w:tcW w:w="513" w:type="pct"/>
            <w:tcBorders>
              <w:top w:val="nil"/>
              <w:left w:val="nil"/>
              <w:bottom w:val="single" w:sz="4" w:space="0" w:color="auto"/>
              <w:right w:val="single" w:sz="4" w:space="0" w:color="auto"/>
            </w:tcBorders>
            <w:shd w:val="clear" w:color="000000" w:fill="FFFFFF"/>
            <w:noWrap/>
            <w:vAlign w:val="center"/>
            <w:hideMark/>
          </w:tcPr>
          <w:p w14:paraId="3F28D22C" w14:textId="498F3F1A" w:rsidR="00EC2495" w:rsidRPr="00F66278" w:rsidRDefault="00EC2495" w:rsidP="00EC2495">
            <w:pPr>
              <w:jc w:val="center"/>
              <w:rPr>
                <w:rFonts w:cs="Calibri"/>
                <w:color w:val="172B4D"/>
              </w:rPr>
            </w:pPr>
            <w:r w:rsidRPr="00F66278">
              <w:rPr>
                <w:rFonts w:cs="Calibri"/>
                <w:color w:val="172B4D"/>
              </w:rPr>
              <w:t>2</w:t>
            </w:r>
            <w:r w:rsidR="001E2410">
              <w:rPr>
                <w:rFonts w:cs="Calibri"/>
                <w:color w:val="172B4D"/>
              </w:rPr>
              <w:t>.</w:t>
            </w:r>
            <w:r w:rsidRPr="00F66278">
              <w:rPr>
                <w:rFonts w:cs="Calibri"/>
                <w:color w:val="172B4D"/>
              </w:rPr>
              <w:t>0</w:t>
            </w:r>
          </w:p>
        </w:tc>
        <w:tc>
          <w:tcPr>
            <w:tcW w:w="513" w:type="pct"/>
            <w:tcBorders>
              <w:top w:val="nil"/>
              <w:left w:val="nil"/>
              <w:bottom w:val="single" w:sz="4" w:space="0" w:color="auto"/>
              <w:right w:val="single" w:sz="4" w:space="0" w:color="auto"/>
            </w:tcBorders>
            <w:shd w:val="clear" w:color="000000" w:fill="FFFFFF"/>
            <w:noWrap/>
            <w:vAlign w:val="center"/>
            <w:hideMark/>
          </w:tcPr>
          <w:p w14:paraId="1C13BED3" w14:textId="6F1E2C3A" w:rsidR="00EC2495" w:rsidRPr="00F66278" w:rsidRDefault="00EC2495" w:rsidP="00EC2495">
            <w:pPr>
              <w:jc w:val="center"/>
              <w:rPr>
                <w:rFonts w:cs="Calibri"/>
                <w:color w:val="172B4D"/>
              </w:rPr>
            </w:pPr>
            <w:r w:rsidRPr="00F66278">
              <w:rPr>
                <w:rFonts w:cs="Calibri"/>
                <w:color w:val="172B4D"/>
              </w:rPr>
              <w:t>2</w:t>
            </w:r>
            <w:r w:rsidR="001E2410">
              <w:rPr>
                <w:rFonts w:cs="Calibri"/>
                <w:color w:val="172B4D"/>
              </w:rPr>
              <w:t>.</w:t>
            </w:r>
            <w:r w:rsidRPr="00F66278">
              <w:rPr>
                <w:rFonts w:cs="Calibri"/>
                <w:color w:val="172B4D"/>
              </w:rPr>
              <w:t>9</w:t>
            </w:r>
          </w:p>
        </w:tc>
        <w:tc>
          <w:tcPr>
            <w:tcW w:w="513" w:type="pct"/>
            <w:tcBorders>
              <w:top w:val="nil"/>
              <w:left w:val="nil"/>
              <w:bottom w:val="single" w:sz="4" w:space="0" w:color="auto"/>
              <w:right w:val="single" w:sz="4" w:space="0" w:color="auto"/>
            </w:tcBorders>
            <w:shd w:val="clear" w:color="000000" w:fill="FFFFFF"/>
            <w:noWrap/>
            <w:vAlign w:val="center"/>
            <w:hideMark/>
          </w:tcPr>
          <w:p w14:paraId="3C8C5A27" w14:textId="7F7195F4" w:rsidR="00EC2495" w:rsidRPr="00F66278" w:rsidRDefault="00EC2495" w:rsidP="00EC2495">
            <w:pPr>
              <w:jc w:val="center"/>
              <w:rPr>
                <w:rFonts w:cs="Calibri"/>
                <w:color w:val="172B4D"/>
              </w:rPr>
            </w:pPr>
            <w:r w:rsidRPr="00F66278">
              <w:rPr>
                <w:rFonts w:cs="Calibri"/>
                <w:color w:val="172B4D"/>
              </w:rPr>
              <w:t>1</w:t>
            </w:r>
            <w:r w:rsidR="001E2410">
              <w:rPr>
                <w:rFonts w:cs="Calibri"/>
                <w:color w:val="172B4D"/>
              </w:rPr>
              <w:t>.</w:t>
            </w:r>
            <w:r w:rsidRPr="00F66278">
              <w:rPr>
                <w:rFonts w:cs="Calibri"/>
                <w:color w:val="172B4D"/>
              </w:rPr>
              <w:t>5</w:t>
            </w:r>
          </w:p>
        </w:tc>
        <w:tc>
          <w:tcPr>
            <w:tcW w:w="515" w:type="pct"/>
            <w:tcBorders>
              <w:top w:val="nil"/>
              <w:left w:val="nil"/>
              <w:bottom w:val="single" w:sz="4" w:space="0" w:color="auto"/>
              <w:right w:val="single" w:sz="4" w:space="0" w:color="auto"/>
            </w:tcBorders>
            <w:shd w:val="clear" w:color="000000" w:fill="FFFFFF"/>
            <w:noWrap/>
            <w:vAlign w:val="center"/>
            <w:hideMark/>
          </w:tcPr>
          <w:p w14:paraId="6F6B582A" w14:textId="6EE2B006" w:rsidR="00EC2495" w:rsidRPr="00F66278" w:rsidRDefault="00EC2495" w:rsidP="00EC2495">
            <w:pPr>
              <w:jc w:val="center"/>
              <w:rPr>
                <w:rFonts w:cs="Calibri"/>
                <w:color w:val="172B4D"/>
              </w:rPr>
            </w:pPr>
            <w:r w:rsidRPr="00F66278">
              <w:rPr>
                <w:rFonts w:cs="Calibri"/>
                <w:color w:val="172B4D"/>
              </w:rPr>
              <w:t>2</w:t>
            </w:r>
            <w:r w:rsidR="001E2410">
              <w:rPr>
                <w:rFonts w:cs="Calibri"/>
                <w:color w:val="172B4D"/>
              </w:rPr>
              <w:t>.</w:t>
            </w:r>
            <w:r w:rsidRPr="00F66278">
              <w:rPr>
                <w:rFonts w:cs="Calibri"/>
                <w:color w:val="172B4D"/>
              </w:rPr>
              <w:t>0</w:t>
            </w:r>
          </w:p>
        </w:tc>
        <w:tc>
          <w:tcPr>
            <w:tcW w:w="588" w:type="pct"/>
            <w:tcBorders>
              <w:top w:val="nil"/>
              <w:left w:val="nil"/>
              <w:bottom w:val="single" w:sz="4" w:space="0" w:color="auto"/>
              <w:right w:val="single" w:sz="4" w:space="0" w:color="auto"/>
            </w:tcBorders>
            <w:shd w:val="clear" w:color="000000" w:fill="FFFFFF"/>
            <w:noWrap/>
            <w:vAlign w:val="center"/>
            <w:hideMark/>
          </w:tcPr>
          <w:p w14:paraId="042246D6" w14:textId="36B1D365" w:rsidR="00EC2495" w:rsidRPr="00F66278" w:rsidRDefault="00EC2495" w:rsidP="00EC2495">
            <w:pPr>
              <w:jc w:val="center"/>
              <w:rPr>
                <w:rFonts w:cs="Calibri"/>
                <w:color w:val="172B4D"/>
              </w:rPr>
            </w:pPr>
            <w:r w:rsidRPr="00F66278">
              <w:rPr>
                <w:rFonts w:cs="Calibri"/>
                <w:color w:val="172B4D"/>
              </w:rPr>
              <w:t>2</w:t>
            </w:r>
            <w:r w:rsidR="001E2410">
              <w:rPr>
                <w:rFonts w:cs="Calibri"/>
                <w:color w:val="172B4D"/>
              </w:rPr>
              <w:t>.</w:t>
            </w:r>
            <w:r w:rsidRPr="00F66278">
              <w:rPr>
                <w:rFonts w:cs="Calibri"/>
                <w:color w:val="172B4D"/>
              </w:rPr>
              <w:t>4</w:t>
            </w:r>
          </w:p>
        </w:tc>
      </w:tr>
      <w:tr w:rsidR="004D5C07" w:rsidRPr="00E129D9" w14:paraId="1D1C46B0" w14:textId="77777777" w:rsidTr="004D5C07">
        <w:trPr>
          <w:trHeight w:val="510"/>
        </w:trPr>
        <w:tc>
          <w:tcPr>
            <w:tcW w:w="1844" w:type="pct"/>
            <w:tcBorders>
              <w:top w:val="nil"/>
              <w:left w:val="single" w:sz="4" w:space="0" w:color="auto"/>
              <w:bottom w:val="single" w:sz="4" w:space="0" w:color="auto"/>
              <w:right w:val="single" w:sz="4" w:space="0" w:color="auto"/>
            </w:tcBorders>
            <w:shd w:val="clear" w:color="000000" w:fill="FFFFFF"/>
            <w:vAlign w:val="center"/>
            <w:hideMark/>
          </w:tcPr>
          <w:p w14:paraId="65F43F9A" w14:textId="77777777" w:rsidR="00EC2495" w:rsidRPr="00F66278" w:rsidRDefault="00EC2495" w:rsidP="00EC2495">
            <w:pPr>
              <w:spacing w:after="0" w:line="240" w:lineRule="auto"/>
              <w:rPr>
                <w:rFonts w:eastAsia="Times New Roman" w:cs="Calibri"/>
                <w:b/>
                <w:color w:val="172B4D"/>
                <w:lang w:eastAsia="it-IT"/>
              </w:rPr>
            </w:pPr>
            <w:r w:rsidRPr="00F66278">
              <w:rPr>
                <w:rFonts w:eastAsia="Times New Roman" w:cs="Calibri"/>
                <w:b/>
                <w:color w:val="172B4D"/>
                <w:lang w:eastAsia="it-IT"/>
              </w:rPr>
              <w:t>Total</w:t>
            </w:r>
          </w:p>
        </w:tc>
        <w:tc>
          <w:tcPr>
            <w:tcW w:w="513" w:type="pct"/>
            <w:tcBorders>
              <w:top w:val="nil"/>
              <w:left w:val="nil"/>
              <w:bottom w:val="single" w:sz="4" w:space="0" w:color="auto"/>
              <w:right w:val="single" w:sz="4" w:space="0" w:color="auto"/>
            </w:tcBorders>
            <w:shd w:val="clear" w:color="000000" w:fill="FFFFFF"/>
            <w:noWrap/>
            <w:vAlign w:val="center"/>
            <w:hideMark/>
          </w:tcPr>
          <w:p w14:paraId="6638D607" w14:textId="3EF4B9CD" w:rsidR="00EC2495" w:rsidRPr="00F66278" w:rsidRDefault="00EC2495" w:rsidP="00EC2495">
            <w:pPr>
              <w:jc w:val="center"/>
              <w:rPr>
                <w:rFonts w:cs="Calibri"/>
                <w:b/>
                <w:color w:val="172B4D"/>
              </w:rPr>
            </w:pPr>
            <w:r w:rsidRPr="00F66278">
              <w:rPr>
                <w:rFonts w:cs="Calibri"/>
                <w:b/>
                <w:color w:val="172B4D"/>
              </w:rPr>
              <w:t>1</w:t>
            </w:r>
            <w:r w:rsidR="001E2410">
              <w:rPr>
                <w:rFonts w:cs="Calibri"/>
                <w:b/>
                <w:color w:val="172B4D"/>
              </w:rPr>
              <w:t>.</w:t>
            </w:r>
            <w:r w:rsidRPr="00F66278">
              <w:rPr>
                <w:rFonts w:cs="Calibri"/>
                <w:b/>
                <w:color w:val="172B4D"/>
              </w:rPr>
              <w:t>3</w:t>
            </w:r>
          </w:p>
        </w:tc>
        <w:tc>
          <w:tcPr>
            <w:tcW w:w="513" w:type="pct"/>
            <w:tcBorders>
              <w:top w:val="nil"/>
              <w:left w:val="nil"/>
              <w:bottom w:val="single" w:sz="4" w:space="0" w:color="auto"/>
              <w:right w:val="single" w:sz="4" w:space="0" w:color="auto"/>
            </w:tcBorders>
            <w:shd w:val="clear" w:color="000000" w:fill="FFFFFF"/>
            <w:noWrap/>
            <w:vAlign w:val="center"/>
            <w:hideMark/>
          </w:tcPr>
          <w:p w14:paraId="2D77B7A4" w14:textId="112E1270" w:rsidR="00EC2495" w:rsidRPr="00F66278" w:rsidRDefault="00EC2495" w:rsidP="00EC2495">
            <w:pPr>
              <w:jc w:val="center"/>
              <w:rPr>
                <w:rFonts w:cs="Calibri"/>
                <w:b/>
                <w:color w:val="172B4D"/>
              </w:rPr>
            </w:pPr>
            <w:r w:rsidRPr="00F66278">
              <w:rPr>
                <w:rFonts w:cs="Calibri"/>
                <w:b/>
                <w:color w:val="172B4D"/>
              </w:rPr>
              <w:t>1</w:t>
            </w:r>
            <w:r w:rsidR="001E2410">
              <w:rPr>
                <w:rFonts w:cs="Calibri"/>
                <w:b/>
                <w:color w:val="172B4D"/>
              </w:rPr>
              <w:t>.</w:t>
            </w:r>
            <w:r w:rsidRPr="00F66278">
              <w:rPr>
                <w:rFonts w:cs="Calibri"/>
                <w:b/>
                <w:color w:val="172B4D"/>
              </w:rPr>
              <w:t>6</w:t>
            </w:r>
          </w:p>
        </w:tc>
        <w:tc>
          <w:tcPr>
            <w:tcW w:w="513" w:type="pct"/>
            <w:tcBorders>
              <w:top w:val="nil"/>
              <w:left w:val="nil"/>
              <w:bottom w:val="single" w:sz="4" w:space="0" w:color="auto"/>
              <w:right w:val="single" w:sz="4" w:space="0" w:color="auto"/>
            </w:tcBorders>
            <w:shd w:val="clear" w:color="000000" w:fill="FFFFFF"/>
            <w:noWrap/>
            <w:vAlign w:val="center"/>
            <w:hideMark/>
          </w:tcPr>
          <w:p w14:paraId="64CCD409" w14:textId="468FC96F" w:rsidR="00EC2495" w:rsidRPr="00F66278" w:rsidRDefault="00EC2495" w:rsidP="00EC2495">
            <w:pPr>
              <w:jc w:val="center"/>
              <w:rPr>
                <w:rFonts w:cs="Calibri"/>
                <w:b/>
                <w:color w:val="172B4D"/>
              </w:rPr>
            </w:pPr>
            <w:r w:rsidRPr="00F66278">
              <w:rPr>
                <w:rFonts w:cs="Calibri"/>
                <w:b/>
                <w:color w:val="172B4D"/>
              </w:rPr>
              <w:t>2</w:t>
            </w:r>
            <w:r w:rsidR="001E2410">
              <w:rPr>
                <w:rFonts w:cs="Calibri"/>
                <w:b/>
                <w:color w:val="172B4D"/>
              </w:rPr>
              <w:t>.</w:t>
            </w:r>
            <w:r w:rsidRPr="00F66278">
              <w:rPr>
                <w:rFonts w:cs="Calibri"/>
                <w:b/>
                <w:color w:val="172B4D"/>
              </w:rPr>
              <w:t>5</w:t>
            </w:r>
          </w:p>
        </w:tc>
        <w:tc>
          <w:tcPr>
            <w:tcW w:w="513" w:type="pct"/>
            <w:tcBorders>
              <w:top w:val="nil"/>
              <w:left w:val="nil"/>
              <w:bottom w:val="single" w:sz="4" w:space="0" w:color="auto"/>
              <w:right w:val="single" w:sz="4" w:space="0" w:color="auto"/>
            </w:tcBorders>
            <w:shd w:val="clear" w:color="000000" w:fill="FFFFFF"/>
            <w:noWrap/>
            <w:vAlign w:val="center"/>
            <w:hideMark/>
          </w:tcPr>
          <w:p w14:paraId="20EF45B9" w14:textId="5B6F4EF0" w:rsidR="00EC2495" w:rsidRPr="00F66278" w:rsidRDefault="00EC2495" w:rsidP="00EC2495">
            <w:pPr>
              <w:jc w:val="center"/>
              <w:rPr>
                <w:rFonts w:cs="Calibri"/>
                <w:b/>
                <w:color w:val="172B4D"/>
              </w:rPr>
            </w:pPr>
            <w:r w:rsidRPr="00F66278">
              <w:rPr>
                <w:rFonts w:cs="Calibri"/>
                <w:b/>
                <w:color w:val="172B4D"/>
              </w:rPr>
              <w:t>1</w:t>
            </w:r>
            <w:r w:rsidR="001E2410">
              <w:rPr>
                <w:rFonts w:cs="Calibri"/>
                <w:b/>
                <w:color w:val="172B4D"/>
              </w:rPr>
              <w:t>.</w:t>
            </w:r>
            <w:r w:rsidRPr="00F66278">
              <w:rPr>
                <w:rFonts w:cs="Calibri"/>
                <w:b/>
                <w:color w:val="172B4D"/>
              </w:rPr>
              <w:t>4</w:t>
            </w:r>
          </w:p>
        </w:tc>
        <w:tc>
          <w:tcPr>
            <w:tcW w:w="515" w:type="pct"/>
            <w:tcBorders>
              <w:top w:val="nil"/>
              <w:left w:val="nil"/>
              <w:bottom w:val="single" w:sz="4" w:space="0" w:color="auto"/>
              <w:right w:val="single" w:sz="4" w:space="0" w:color="auto"/>
            </w:tcBorders>
            <w:shd w:val="clear" w:color="000000" w:fill="FFFFFF"/>
            <w:noWrap/>
            <w:vAlign w:val="center"/>
            <w:hideMark/>
          </w:tcPr>
          <w:p w14:paraId="165285A1" w14:textId="62F832A7" w:rsidR="00EC2495" w:rsidRPr="00F66278" w:rsidRDefault="00EC2495" w:rsidP="00EC2495">
            <w:pPr>
              <w:jc w:val="center"/>
              <w:rPr>
                <w:rFonts w:cs="Calibri"/>
                <w:b/>
                <w:color w:val="172B4D"/>
              </w:rPr>
            </w:pPr>
            <w:r w:rsidRPr="00F66278">
              <w:rPr>
                <w:rFonts w:cs="Calibri"/>
                <w:b/>
                <w:color w:val="172B4D"/>
              </w:rPr>
              <w:t>1</w:t>
            </w:r>
            <w:r w:rsidR="001E2410">
              <w:rPr>
                <w:rFonts w:cs="Calibri"/>
                <w:b/>
                <w:color w:val="172B4D"/>
              </w:rPr>
              <w:t>.</w:t>
            </w:r>
            <w:r w:rsidRPr="00F66278">
              <w:rPr>
                <w:rFonts w:cs="Calibri"/>
                <w:b/>
                <w:color w:val="172B4D"/>
              </w:rPr>
              <w:t>8</w:t>
            </w:r>
          </w:p>
        </w:tc>
        <w:tc>
          <w:tcPr>
            <w:tcW w:w="588" w:type="pct"/>
            <w:tcBorders>
              <w:top w:val="nil"/>
              <w:left w:val="nil"/>
              <w:bottom w:val="single" w:sz="4" w:space="0" w:color="auto"/>
              <w:right w:val="single" w:sz="4" w:space="0" w:color="auto"/>
            </w:tcBorders>
            <w:shd w:val="clear" w:color="000000" w:fill="FFFFFF"/>
            <w:noWrap/>
            <w:vAlign w:val="center"/>
            <w:hideMark/>
          </w:tcPr>
          <w:p w14:paraId="76DD2689" w14:textId="5BB197EF" w:rsidR="00EC2495" w:rsidRPr="00F66278" w:rsidRDefault="00EC2495" w:rsidP="00EC2495">
            <w:pPr>
              <w:jc w:val="center"/>
              <w:rPr>
                <w:rFonts w:cs="Calibri"/>
                <w:b/>
                <w:color w:val="172B4D"/>
              </w:rPr>
            </w:pPr>
            <w:r w:rsidRPr="00F66278">
              <w:rPr>
                <w:rFonts w:cs="Calibri"/>
                <w:b/>
                <w:color w:val="172B4D"/>
              </w:rPr>
              <w:t>2</w:t>
            </w:r>
            <w:r w:rsidR="001E2410">
              <w:rPr>
                <w:rFonts w:cs="Calibri"/>
                <w:b/>
                <w:color w:val="172B4D"/>
              </w:rPr>
              <w:t>.</w:t>
            </w:r>
            <w:r w:rsidRPr="00F66278">
              <w:rPr>
                <w:rFonts w:cs="Calibri"/>
                <w:b/>
                <w:color w:val="172B4D"/>
              </w:rPr>
              <w:t>2</w:t>
            </w:r>
          </w:p>
        </w:tc>
      </w:tr>
    </w:tbl>
    <w:p w14:paraId="6096F1FD" w14:textId="4008E0AB" w:rsidR="00EC2495" w:rsidRPr="00E931DB" w:rsidRDefault="00B30F41" w:rsidP="00E931DB">
      <w:pPr>
        <w:jc w:val="both"/>
        <w:rPr>
          <w:rFonts w:ascii="Segoe UI" w:hAnsi="Segoe UI" w:cs="Segoe UI"/>
          <w:color w:val="172B4D"/>
          <w:sz w:val="21"/>
          <w:szCs w:val="21"/>
          <w:lang w:val="en-US"/>
        </w:rPr>
      </w:pPr>
      <w:r>
        <w:rPr>
          <w:rFonts w:ascii="Segoe UI" w:hAnsi="Segoe UI" w:cs="Segoe UI"/>
          <w:color w:val="172B4D"/>
          <w:sz w:val="21"/>
          <w:szCs w:val="21"/>
          <w:lang w:val="en-US"/>
        </w:rPr>
        <w:t>D</w:t>
      </w:r>
      <w:r w:rsidR="00EC2495" w:rsidRPr="00E931DB">
        <w:rPr>
          <w:rFonts w:ascii="Segoe UI" w:hAnsi="Segoe UI" w:cs="Segoe UI"/>
          <w:color w:val="172B4D"/>
          <w:sz w:val="21"/>
          <w:szCs w:val="21"/>
          <w:lang w:val="en-US"/>
        </w:rPr>
        <w:t>ifferences in percentage points of the OJA rate by professional figure compared to the same period of the previous year</w:t>
      </w:r>
      <w:r w:rsidR="00D46A6D">
        <w:rPr>
          <w:rFonts w:ascii="Segoe UI" w:hAnsi="Segoe UI" w:cs="Segoe UI"/>
          <w:color w:val="172B4D"/>
          <w:sz w:val="21"/>
          <w:szCs w:val="21"/>
          <w:lang w:val="en-US"/>
        </w:rPr>
        <w:t xml:space="preserve"> have been calculated</w:t>
      </w:r>
      <w:r w:rsidR="00EC2495" w:rsidRPr="00E931DB">
        <w:rPr>
          <w:rFonts w:ascii="Segoe UI" w:hAnsi="Segoe UI" w:cs="Segoe UI"/>
          <w:color w:val="172B4D"/>
          <w:sz w:val="21"/>
          <w:szCs w:val="21"/>
          <w:lang w:val="en-US"/>
        </w:rPr>
        <w:t>,</w:t>
      </w:r>
      <w:r>
        <w:rPr>
          <w:rFonts w:ascii="Segoe UI" w:hAnsi="Segoe UI" w:cs="Segoe UI"/>
          <w:color w:val="172B4D"/>
          <w:sz w:val="21"/>
          <w:szCs w:val="21"/>
          <w:lang w:val="en-US"/>
        </w:rPr>
        <w:t xml:space="preserve"> only</w:t>
      </w:r>
      <w:r w:rsidR="00EC2495" w:rsidRPr="00E931DB">
        <w:rPr>
          <w:rFonts w:ascii="Segoe UI" w:hAnsi="Segoe UI" w:cs="Segoe UI"/>
          <w:color w:val="172B4D"/>
          <w:sz w:val="21"/>
          <w:szCs w:val="21"/>
          <w:lang w:val="en-US"/>
        </w:rPr>
        <w:t xml:space="preserve"> for the third and fourth quarter of </w:t>
      </w:r>
      <w:r w:rsidR="000F5E7E" w:rsidRPr="00E931DB">
        <w:rPr>
          <w:rFonts w:ascii="Segoe UI" w:hAnsi="Segoe UI" w:cs="Segoe UI"/>
          <w:color w:val="172B4D"/>
          <w:sz w:val="21"/>
          <w:szCs w:val="21"/>
          <w:lang w:val="en-US"/>
        </w:rPr>
        <w:t>20</w:t>
      </w:r>
      <w:r w:rsidR="000F5E7E">
        <w:rPr>
          <w:rFonts w:ascii="Segoe UI" w:hAnsi="Segoe UI" w:cs="Segoe UI"/>
          <w:color w:val="172B4D"/>
          <w:sz w:val="21"/>
          <w:szCs w:val="21"/>
          <w:lang w:val="en-US"/>
        </w:rPr>
        <w:t xml:space="preserve">19 </w:t>
      </w:r>
      <w:r w:rsidR="00060215">
        <w:rPr>
          <w:rFonts w:ascii="Segoe UI" w:hAnsi="Segoe UI" w:cs="Segoe UI"/>
          <w:color w:val="172B4D"/>
          <w:sz w:val="21"/>
          <w:szCs w:val="21"/>
          <w:lang w:val="en-US"/>
        </w:rPr>
        <w:t xml:space="preserve"> </w:t>
      </w:r>
      <w:r>
        <w:rPr>
          <w:rFonts w:ascii="Segoe UI" w:hAnsi="Segoe UI" w:cs="Segoe UI"/>
          <w:color w:val="172B4D"/>
          <w:sz w:val="21"/>
          <w:szCs w:val="21"/>
          <w:lang w:val="en-US"/>
        </w:rPr>
        <w:t>(</w:t>
      </w:r>
      <w:r w:rsidR="00060215">
        <w:rPr>
          <w:rFonts w:ascii="Segoe UI" w:hAnsi="Segoe UI" w:cs="Segoe UI"/>
          <w:color w:val="172B4D"/>
          <w:sz w:val="21"/>
          <w:szCs w:val="21"/>
          <w:lang w:val="en-US"/>
        </w:rPr>
        <w:t>Table 4</w:t>
      </w:r>
      <w:r>
        <w:rPr>
          <w:rFonts w:ascii="Segoe UI" w:hAnsi="Segoe UI" w:cs="Segoe UI"/>
          <w:color w:val="172B4D"/>
          <w:sz w:val="21"/>
          <w:szCs w:val="21"/>
          <w:lang w:val="en-US"/>
        </w:rPr>
        <w:t xml:space="preserve">), due to the very short period available. These differences are of particular interest describing changes over time of the characteristic of labour demand in terms of profession required. Both in the third and fourth quarter 2019, online job vacant positions for Managers and </w:t>
      </w:r>
      <w:r w:rsidRPr="00B30F41">
        <w:rPr>
          <w:rFonts w:ascii="Segoe UI" w:hAnsi="Segoe UI" w:cs="Segoe UI"/>
          <w:color w:val="172B4D"/>
          <w:sz w:val="21"/>
          <w:szCs w:val="21"/>
          <w:lang w:val="en-US"/>
        </w:rPr>
        <w:t>Professionals</w:t>
      </w:r>
      <w:r>
        <w:rPr>
          <w:rFonts w:ascii="Segoe UI" w:hAnsi="Segoe UI" w:cs="Segoe UI"/>
          <w:color w:val="172B4D"/>
          <w:sz w:val="21"/>
          <w:szCs w:val="21"/>
          <w:lang w:val="en-US"/>
        </w:rPr>
        <w:t xml:space="preserve"> increase significantly</w:t>
      </w:r>
      <w:r w:rsidR="00F66278">
        <w:rPr>
          <w:rFonts w:ascii="Segoe UI" w:hAnsi="Segoe UI" w:cs="Segoe UI"/>
          <w:color w:val="172B4D"/>
          <w:sz w:val="21"/>
          <w:szCs w:val="21"/>
          <w:lang w:val="en-US"/>
        </w:rPr>
        <w:t>.</w:t>
      </w:r>
    </w:p>
    <w:p w14:paraId="53ABE0F5" w14:textId="77777777" w:rsidR="00EC2495" w:rsidRDefault="00EC2495" w:rsidP="00EC2495">
      <w:pPr>
        <w:rPr>
          <w:i/>
          <w:iCs/>
          <w:color w:val="44546A" w:themeColor="text2"/>
          <w:sz w:val="18"/>
          <w:szCs w:val="18"/>
          <w:lang w:val="en-GB"/>
        </w:rPr>
      </w:pPr>
      <w:r>
        <w:rPr>
          <w:i/>
          <w:iCs/>
          <w:color w:val="44546A" w:themeColor="text2"/>
          <w:sz w:val="18"/>
          <w:szCs w:val="18"/>
          <w:lang w:val="en-GB"/>
        </w:rPr>
        <w:t xml:space="preserve">Table 4: </w:t>
      </w:r>
      <w:r w:rsidRPr="00DE328C">
        <w:rPr>
          <w:i/>
          <w:iCs/>
          <w:color w:val="44546A" w:themeColor="text2"/>
          <w:sz w:val="18"/>
          <w:szCs w:val="18"/>
          <w:lang w:val="en-GB"/>
        </w:rPr>
        <w:t>Italian OJA</w:t>
      </w:r>
      <w:r>
        <w:rPr>
          <w:i/>
          <w:iCs/>
          <w:color w:val="44546A" w:themeColor="text2"/>
          <w:sz w:val="18"/>
          <w:szCs w:val="18"/>
          <w:lang w:val="en-GB"/>
        </w:rPr>
        <w:t>r</w:t>
      </w:r>
      <w:r w:rsidRPr="00DE328C">
        <w:rPr>
          <w:i/>
          <w:iCs/>
          <w:color w:val="44546A" w:themeColor="text2"/>
          <w:sz w:val="18"/>
          <w:szCs w:val="18"/>
          <w:lang w:val="en-GB"/>
        </w:rPr>
        <w:t xml:space="preserve"> </w:t>
      </w:r>
      <w:r>
        <w:rPr>
          <w:i/>
          <w:iCs/>
          <w:color w:val="44546A" w:themeColor="text2"/>
          <w:sz w:val="18"/>
          <w:szCs w:val="18"/>
          <w:lang w:val="en-GB"/>
        </w:rPr>
        <w:t xml:space="preserve">year on year differences, </w:t>
      </w:r>
      <w:r w:rsidRPr="00DE328C">
        <w:rPr>
          <w:i/>
          <w:iCs/>
          <w:color w:val="44546A" w:themeColor="text2"/>
          <w:sz w:val="18"/>
          <w:szCs w:val="18"/>
          <w:lang w:val="en-GB"/>
        </w:rPr>
        <w:t>by Isco level 1</w:t>
      </w:r>
    </w:p>
    <w:tbl>
      <w:tblPr>
        <w:tblW w:w="9120" w:type="dxa"/>
        <w:tblCellMar>
          <w:left w:w="70" w:type="dxa"/>
          <w:right w:w="70" w:type="dxa"/>
        </w:tblCellMar>
        <w:tblLook w:val="04A0" w:firstRow="1" w:lastRow="0" w:firstColumn="1" w:lastColumn="0" w:noHBand="0" w:noVBand="1"/>
      </w:tblPr>
      <w:tblGrid>
        <w:gridCol w:w="5980"/>
        <w:gridCol w:w="1720"/>
        <w:gridCol w:w="1420"/>
      </w:tblGrid>
      <w:tr w:rsidR="00A60CF3" w:rsidRPr="00A60CF3" w14:paraId="24A6C831" w14:textId="77777777" w:rsidTr="00A60CF3">
        <w:trPr>
          <w:trHeight w:val="630"/>
        </w:trPr>
        <w:tc>
          <w:tcPr>
            <w:tcW w:w="5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E205AD" w14:textId="77777777" w:rsidR="00EC2495" w:rsidRPr="00A60CF3" w:rsidRDefault="00EC2495" w:rsidP="00A60CF3">
            <w:pPr>
              <w:jc w:val="both"/>
              <w:rPr>
                <w:rFonts w:ascii="Segoe UI" w:hAnsi="Segoe UI" w:cs="Segoe UI"/>
                <w:b/>
                <w:color w:val="172B4D"/>
                <w:sz w:val="21"/>
                <w:szCs w:val="21"/>
                <w:lang w:val="en-US"/>
              </w:rPr>
            </w:pPr>
            <w:r w:rsidRPr="00A60CF3">
              <w:rPr>
                <w:rFonts w:ascii="Segoe UI" w:hAnsi="Segoe UI" w:cs="Segoe UI"/>
                <w:b/>
                <w:color w:val="172B4D"/>
                <w:sz w:val="21"/>
                <w:szCs w:val="21"/>
                <w:lang w:val="en-US"/>
              </w:rPr>
              <w:t>Isco level 1</w:t>
            </w:r>
          </w:p>
        </w:tc>
        <w:tc>
          <w:tcPr>
            <w:tcW w:w="172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1007C31" w14:textId="77777777" w:rsidR="00EC2495" w:rsidRPr="00A60CF3" w:rsidRDefault="00EC2495" w:rsidP="00AC3620">
            <w:pPr>
              <w:spacing w:after="0"/>
              <w:jc w:val="center"/>
              <w:rPr>
                <w:rFonts w:ascii="Segoe UI" w:hAnsi="Segoe UI" w:cs="Segoe UI"/>
                <w:b/>
                <w:color w:val="172B4D"/>
                <w:sz w:val="21"/>
                <w:szCs w:val="21"/>
                <w:lang w:val="en-US"/>
              </w:rPr>
            </w:pPr>
            <w:r w:rsidRPr="00A60CF3">
              <w:rPr>
                <w:rFonts w:ascii="Segoe UI" w:hAnsi="Segoe UI" w:cs="Segoe UI"/>
                <w:b/>
                <w:color w:val="172B4D"/>
                <w:sz w:val="21"/>
                <w:szCs w:val="21"/>
                <w:u w:val="single"/>
                <w:lang w:val="en-US"/>
              </w:rPr>
              <w:t>Q32019</w:t>
            </w:r>
            <w:r w:rsidRPr="00A60CF3">
              <w:rPr>
                <w:rFonts w:ascii="Segoe UI" w:hAnsi="Segoe UI" w:cs="Segoe UI"/>
                <w:b/>
                <w:color w:val="172B4D"/>
                <w:sz w:val="21"/>
                <w:szCs w:val="21"/>
                <w:u w:val="single"/>
                <w:lang w:val="en-US"/>
              </w:rPr>
              <w:br/>
            </w:r>
            <w:r w:rsidRPr="00A60CF3">
              <w:rPr>
                <w:rFonts w:ascii="Segoe UI" w:hAnsi="Segoe UI" w:cs="Segoe UI"/>
                <w:b/>
                <w:color w:val="172B4D"/>
                <w:sz w:val="21"/>
                <w:szCs w:val="21"/>
                <w:lang w:val="en-US"/>
              </w:rPr>
              <w:t>Q32018</w:t>
            </w:r>
          </w:p>
        </w:tc>
        <w:tc>
          <w:tcPr>
            <w:tcW w:w="142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AA91C12" w14:textId="77777777" w:rsidR="00EC2495" w:rsidRPr="00A60CF3" w:rsidRDefault="00EC2495" w:rsidP="00AC3620">
            <w:pPr>
              <w:spacing w:after="0"/>
              <w:jc w:val="center"/>
              <w:rPr>
                <w:rFonts w:ascii="Segoe UI" w:hAnsi="Segoe UI" w:cs="Segoe UI"/>
                <w:b/>
                <w:color w:val="172B4D"/>
                <w:sz w:val="21"/>
                <w:szCs w:val="21"/>
                <w:lang w:val="en-US"/>
              </w:rPr>
            </w:pPr>
            <w:r w:rsidRPr="00A60CF3">
              <w:rPr>
                <w:rFonts w:ascii="Segoe UI" w:hAnsi="Segoe UI" w:cs="Segoe UI"/>
                <w:b/>
                <w:color w:val="172B4D"/>
                <w:sz w:val="21"/>
                <w:szCs w:val="21"/>
                <w:u w:val="single"/>
                <w:lang w:val="en-US"/>
              </w:rPr>
              <w:t>Q42019</w:t>
            </w:r>
            <w:r w:rsidRPr="00A60CF3">
              <w:rPr>
                <w:rFonts w:ascii="Segoe UI" w:hAnsi="Segoe UI" w:cs="Segoe UI"/>
                <w:b/>
                <w:color w:val="172B4D"/>
                <w:sz w:val="21"/>
                <w:szCs w:val="21"/>
                <w:u w:val="single"/>
                <w:lang w:val="en-US"/>
              </w:rPr>
              <w:br/>
            </w:r>
            <w:r w:rsidRPr="00A60CF3">
              <w:rPr>
                <w:rFonts w:ascii="Segoe UI" w:hAnsi="Segoe UI" w:cs="Segoe UI"/>
                <w:b/>
                <w:color w:val="172B4D"/>
                <w:sz w:val="21"/>
                <w:szCs w:val="21"/>
                <w:lang w:val="en-US"/>
              </w:rPr>
              <w:t>Q42018</w:t>
            </w:r>
          </w:p>
        </w:tc>
      </w:tr>
      <w:tr w:rsidR="00EC2495" w:rsidRPr="001D1EBD" w14:paraId="6BD15FBF" w14:textId="77777777" w:rsidTr="00C84542">
        <w:trPr>
          <w:trHeight w:val="509"/>
        </w:trPr>
        <w:tc>
          <w:tcPr>
            <w:tcW w:w="5980" w:type="dxa"/>
            <w:tcBorders>
              <w:top w:val="nil"/>
              <w:left w:val="single" w:sz="4" w:space="0" w:color="auto"/>
              <w:bottom w:val="single" w:sz="4" w:space="0" w:color="auto"/>
              <w:right w:val="single" w:sz="4" w:space="0" w:color="auto"/>
            </w:tcBorders>
            <w:shd w:val="clear" w:color="000000" w:fill="FFFFFF"/>
            <w:vAlign w:val="center"/>
            <w:hideMark/>
          </w:tcPr>
          <w:p w14:paraId="2D5AB7A0"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Clerical support workers</w:t>
            </w:r>
          </w:p>
        </w:tc>
        <w:tc>
          <w:tcPr>
            <w:tcW w:w="1720" w:type="dxa"/>
            <w:tcBorders>
              <w:top w:val="nil"/>
              <w:left w:val="nil"/>
              <w:bottom w:val="single" w:sz="4" w:space="0" w:color="auto"/>
              <w:right w:val="single" w:sz="4" w:space="0" w:color="auto"/>
            </w:tcBorders>
            <w:shd w:val="clear" w:color="000000" w:fill="FFFFFF"/>
            <w:noWrap/>
            <w:vAlign w:val="bottom"/>
            <w:hideMark/>
          </w:tcPr>
          <w:p w14:paraId="0C4334F8" w14:textId="75821F23" w:rsidR="00EC2495" w:rsidRPr="00577DAA" w:rsidRDefault="00EC2495" w:rsidP="00AC3620">
            <w:pPr>
              <w:jc w:val="center"/>
              <w:rPr>
                <w:rFonts w:cs="Calibri"/>
                <w:color w:val="172B4D"/>
              </w:rPr>
            </w:pPr>
            <w:r w:rsidRPr="00577DAA">
              <w:rPr>
                <w:rFonts w:cs="Calibri"/>
                <w:color w:val="172B4D"/>
              </w:rPr>
              <w:t>0</w:t>
            </w:r>
            <w:r w:rsidR="006B08F7">
              <w:rPr>
                <w:rFonts w:cs="Calibri"/>
                <w:color w:val="172B4D"/>
              </w:rPr>
              <w:t>.</w:t>
            </w:r>
            <w:r w:rsidRPr="00577DAA">
              <w:rPr>
                <w:rFonts w:cs="Calibri"/>
                <w:color w:val="172B4D"/>
              </w:rPr>
              <w:t>3</w:t>
            </w:r>
          </w:p>
        </w:tc>
        <w:tc>
          <w:tcPr>
            <w:tcW w:w="1420" w:type="dxa"/>
            <w:tcBorders>
              <w:top w:val="nil"/>
              <w:left w:val="nil"/>
              <w:bottom w:val="single" w:sz="4" w:space="0" w:color="auto"/>
              <w:right w:val="single" w:sz="4" w:space="0" w:color="auto"/>
            </w:tcBorders>
            <w:shd w:val="clear" w:color="000000" w:fill="FFFFFF"/>
            <w:noWrap/>
            <w:vAlign w:val="bottom"/>
            <w:hideMark/>
          </w:tcPr>
          <w:p w14:paraId="0953B848" w14:textId="1C007B76" w:rsidR="00EC2495" w:rsidRPr="00577DAA" w:rsidRDefault="00EC2495" w:rsidP="00AC3620">
            <w:pPr>
              <w:jc w:val="center"/>
              <w:rPr>
                <w:rFonts w:cs="Calibri"/>
                <w:color w:val="172B4D"/>
              </w:rPr>
            </w:pPr>
            <w:r w:rsidRPr="00577DAA">
              <w:rPr>
                <w:rFonts w:cs="Calibri"/>
                <w:color w:val="172B4D"/>
              </w:rPr>
              <w:t>0</w:t>
            </w:r>
            <w:r w:rsidR="006B08F7">
              <w:rPr>
                <w:rFonts w:cs="Calibri"/>
                <w:color w:val="172B4D"/>
              </w:rPr>
              <w:t>.</w:t>
            </w:r>
            <w:r w:rsidRPr="00577DAA">
              <w:rPr>
                <w:rFonts w:cs="Calibri"/>
                <w:color w:val="172B4D"/>
              </w:rPr>
              <w:t>5</w:t>
            </w:r>
          </w:p>
        </w:tc>
      </w:tr>
      <w:tr w:rsidR="00EC2495" w:rsidRPr="001D1EBD" w14:paraId="020762AA" w14:textId="77777777" w:rsidTr="00C84542">
        <w:trPr>
          <w:trHeight w:val="509"/>
        </w:trPr>
        <w:tc>
          <w:tcPr>
            <w:tcW w:w="5980" w:type="dxa"/>
            <w:tcBorders>
              <w:top w:val="nil"/>
              <w:left w:val="single" w:sz="4" w:space="0" w:color="auto"/>
              <w:bottom w:val="single" w:sz="4" w:space="0" w:color="auto"/>
              <w:right w:val="single" w:sz="4" w:space="0" w:color="auto"/>
            </w:tcBorders>
            <w:shd w:val="clear" w:color="000000" w:fill="FFFFFF"/>
            <w:vAlign w:val="center"/>
            <w:hideMark/>
          </w:tcPr>
          <w:p w14:paraId="5A530810"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Craft and related trades workers</w:t>
            </w:r>
          </w:p>
        </w:tc>
        <w:tc>
          <w:tcPr>
            <w:tcW w:w="1720" w:type="dxa"/>
            <w:tcBorders>
              <w:top w:val="nil"/>
              <w:left w:val="nil"/>
              <w:bottom w:val="single" w:sz="4" w:space="0" w:color="auto"/>
              <w:right w:val="single" w:sz="4" w:space="0" w:color="auto"/>
            </w:tcBorders>
            <w:shd w:val="clear" w:color="000000" w:fill="FFFFFF"/>
            <w:noWrap/>
            <w:vAlign w:val="bottom"/>
            <w:hideMark/>
          </w:tcPr>
          <w:p w14:paraId="3E693A62" w14:textId="166031CE" w:rsidR="00EC2495" w:rsidRPr="00577DAA" w:rsidRDefault="00EC2495" w:rsidP="00AC3620">
            <w:pPr>
              <w:jc w:val="center"/>
              <w:rPr>
                <w:rFonts w:cs="Calibri"/>
                <w:color w:val="172B4D"/>
              </w:rPr>
            </w:pPr>
            <w:r w:rsidRPr="00577DAA">
              <w:rPr>
                <w:rFonts w:cs="Calibri"/>
                <w:color w:val="172B4D"/>
              </w:rPr>
              <w:t>0</w:t>
            </w:r>
            <w:r w:rsidR="006B08F7">
              <w:rPr>
                <w:rFonts w:cs="Calibri"/>
                <w:color w:val="172B4D"/>
              </w:rPr>
              <w:t>.</w:t>
            </w:r>
            <w:r w:rsidRPr="00577DAA">
              <w:rPr>
                <w:rFonts w:cs="Calibri"/>
                <w:color w:val="172B4D"/>
              </w:rPr>
              <w:t>3</w:t>
            </w:r>
          </w:p>
        </w:tc>
        <w:tc>
          <w:tcPr>
            <w:tcW w:w="1420" w:type="dxa"/>
            <w:tcBorders>
              <w:top w:val="nil"/>
              <w:left w:val="nil"/>
              <w:bottom w:val="single" w:sz="4" w:space="0" w:color="auto"/>
              <w:right w:val="single" w:sz="4" w:space="0" w:color="auto"/>
            </w:tcBorders>
            <w:shd w:val="clear" w:color="000000" w:fill="FFFFFF"/>
            <w:noWrap/>
            <w:vAlign w:val="bottom"/>
            <w:hideMark/>
          </w:tcPr>
          <w:p w14:paraId="65F1A302" w14:textId="167D2F8A" w:rsidR="00EC2495" w:rsidRPr="00577DAA" w:rsidRDefault="00EC2495" w:rsidP="00AC3620">
            <w:pPr>
              <w:jc w:val="center"/>
              <w:rPr>
                <w:rFonts w:cs="Calibri"/>
                <w:color w:val="172B4D"/>
              </w:rPr>
            </w:pPr>
            <w:r w:rsidRPr="00577DAA">
              <w:rPr>
                <w:rFonts w:cs="Calibri"/>
                <w:color w:val="172B4D"/>
              </w:rPr>
              <w:t>0</w:t>
            </w:r>
            <w:r w:rsidR="006B08F7">
              <w:rPr>
                <w:rFonts w:cs="Calibri"/>
                <w:color w:val="172B4D"/>
              </w:rPr>
              <w:t>.</w:t>
            </w:r>
            <w:r w:rsidRPr="00577DAA">
              <w:rPr>
                <w:rFonts w:cs="Calibri"/>
                <w:color w:val="172B4D"/>
              </w:rPr>
              <w:t>2</w:t>
            </w:r>
          </w:p>
        </w:tc>
      </w:tr>
      <w:tr w:rsidR="00EC2495" w:rsidRPr="001D1EBD" w14:paraId="17C8B678" w14:textId="77777777" w:rsidTr="00C84542">
        <w:trPr>
          <w:trHeight w:val="509"/>
        </w:trPr>
        <w:tc>
          <w:tcPr>
            <w:tcW w:w="5980" w:type="dxa"/>
            <w:tcBorders>
              <w:top w:val="nil"/>
              <w:left w:val="single" w:sz="4" w:space="0" w:color="auto"/>
              <w:bottom w:val="single" w:sz="4" w:space="0" w:color="auto"/>
              <w:right w:val="single" w:sz="4" w:space="0" w:color="auto"/>
            </w:tcBorders>
            <w:shd w:val="clear" w:color="000000" w:fill="FFFFFF"/>
            <w:vAlign w:val="center"/>
            <w:hideMark/>
          </w:tcPr>
          <w:p w14:paraId="7060CC8D"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Elementary occupations</w:t>
            </w:r>
          </w:p>
        </w:tc>
        <w:tc>
          <w:tcPr>
            <w:tcW w:w="1720" w:type="dxa"/>
            <w:tcBorders>
              <w:top w:val="nil"/>
              <w:left w:val="nil"/>
              <w:bottom w:val="single" w:sz="4" w:space="0" w:color="auto"/>
              <w:right w:val="single" w:sz="4" w:space="0" w:color="auto"/>
            </w:tcBorders>
            <w:shd w:val="clear" w:color="000000" w:fill="FFFFFF"/>
            <w:noWrap/>
            <w:vAlign w:val="bottom"/>
            <w:hideMark/>
          </w:tcPr>
          <w:p w14:paraId="4C94314A" w14:textId="1095EB9D" w:rsidR="00EC2495" w:rsidRPr="00577DAA" w:rsidRDefault="00EC2495" w:rsidP="00AC3620">
            <w:pPr>
              <w:jc w:val="center"/>
              <w:rPr>
                <w:rFonts w:cs="Calibri"/>
                <w:color w:val="172B4D"/>
              </w:rPr>
            </w:pPr>
            <w:r w:rsidRPr="00577DAA">
              <w:rPr>
                <w:rFonts w:cs="Calibri"/>
                <w:color w:val="172B4D"/>
              </w:rPr>
              <w:t>0</w:t>
            </w:r>
            <w:r w:rsidR="006B08F7">
              <w:rPr>
                <w:rFonts w:cs="Calibri"/>
                <w:color w:val="172B4D"/>
              </w:rPr>
              <w:t>.</w:t>
            </w:r>
            <w:r w:rsidRPr="00577DAA">
              <w:rPr>
                <w:rFonts w:cs="Calibri"/>
                <w:color w:val="172B4D"/>
              </w:rPr>
              <w:t>3</w:t>
            </w:r>
          </w:p>
        </w:tc>
        <w:tc>
          <w:tcPr>
            <w:tcW w:w="1420" w:type="dxa"/>
            <w:tcBorders>
              <w:top w:val="nil"/>
              <w:left w:val="nil"/>
              <w:bottom w:val="single" w:sz="4" w:space="0" w:color="auto"/>
              <w:right w:val="single" w:sz="4" w:space="0" w:color="auto"/>
            </w:tcBorders>
            <w:shd w:val="clear" w:color="000000" w:fill="FFFFFF"/>
            <w:noWrap/>
            <w:vAlign w:val="bottom"/>
            <w:hideMark/>
          </w:tcPr>
          <w:p w14:paraId="6C33BC39" w14:textId="6184637A" w:rsidR="00EC2495" w:rsidRPr="00577DAA" w:rsidRDefault="00EC2495" w:rsidP="00AC3620">
            <w:pPr>
              <w:jc w:val="center"/>
              <w:rPr>
                <w:rFonts w:cs="Calibri"/>
                <w:color w:val="172B4D"/>
              </w:rPr>
            </w:pPr>
            <w:r w:rsidRPr="00577DAA">
              <w:rPr>
                <w:rFonts w:cs="Calibri"/>
                <w:color w:val="172B4D"/>
              </w:rPr>
              <w:t>0</w:t>
            </w:r>
            <w:r w:rsidR="006B08F7">
              <w:rPr>
                <w:rFonts w:cs="Calibri"/>
                <w:color w:val="172B4D"/>
              </w:rPr>
              <w:t>.</w:t>
            </w:r>
            <w:r w:rsidRPr="00577DAA">
              <w:rPr>
                <w:rFonts w:cs="Calibri"/>
                <w:color w:val="172B4D"/>
              </w:rPr>
              <w:t>4</w:t>
            </w:r>
          </w:p>
        </w:tc>
      </w:tr>
      <w:tr w:rsidR="00EC2495" w:rsidRPr="001D1EBD" w14:paraId="53EFDB8D" w14:textId="77777777" w:rsidTr="00C84542">
        <w:trPr>
          <w:trHeight w:val="509"/>
        </w:trPr>
        <w:tc>
          <w:tcPr>
            <w:tcW w:w="5980" w:type="dxa"/>
            <w:tcBorders>
              <w:top w:val="nil"/>
              <w:left w:val="single" w:sz="4" w:space="0" w:color="auto"/>
              <w:bottom w:val="single" w:sz="4" w:space="0" w:color="auto"/>
              <w:right w:val="single" w:sz="4" w:space="0" w:color="auto"/>
            </w:tcBorders>
            <w:shd w:val="clear" w:color="000000" w:fill="FFFFFF"/>
            <w:vAlign w:val="center"/>
            <w:hideMark/>
          </w:tcPr>
          <w:p w14:paraId="0A0CD278"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Managers</w:t>
            </w:r>
          </w:p>
        </w:tc>
        <w:tc>
          <w:tcPr>
            <w:tcW w:w="1720" w:type="dxa"/>
            <w:tcBorders>
              <w:top w:val="nil"/>
              <w:left w:val="nil"/>
              <w:bottom w:val="single" w:sz="4" w:space="0" w:color="auto"/>
              <w:right w:val="single" w:sz="4" w:space="0" w:color="auto"/>
            </w:tcBorders>
            <w:shd w:val="clear" w:color="000000" w:fill="FFFFFF"/>
            <w:noWrap/>
            <w:vAlign w:val="bottom"/>
            <w:hideMark/>
          </w:tcPr>
          <w:p w14:paraId="28F2F3E7" w14:textId="3F8B2AA9" w:rsidR="00EC2495" w:rsidRPr="00577DAA" w:rsidRDefault="00EC2495" w:rsidP="00AC3620">
            <w:pPr>
              <w:jc w:val="center"/>
              <w:rPr>
                <w:rFonts w:cs="Calibri"/>
                <w:color w:val="172B4D"/>
              </w:rPr>
            </w:pPr>
            <w:r w:rsidRPr="00577DAA">
              <w:rPr>
                <w:rFonts w:cs="Calibri"/>
                <w:color w:val="172B4D"/>
              </w:rPr>
              <w:t>1</w:t>
            </w:r>
            <w:r w:rsidR="006B08F7">
              <w:rPr>
                <w:rFonts w:cs="Calibri"/>
                <w:color w:val="172B4D"/>
              </w:rPr>
              <w:t>.</w:t>
            </w:r>
            <w:r w:rsidRPr="00577DAA">
              <w:rPr>
                <w:rFonts w:cs="Calibri"/>
                <w:color w:val="172B4D"/>
              </w:rPr>
              <w:t>6</w:t>
            </w:r>
          </w:p>
        </w:tc>
        <w:tc>
          <w:tcPr>
            <w:tcW w:w="1420" w:type="dxa"/>
            <w:tcBorders>
              <w:top w:val="nil"/>
              <w:left w:val="nil"/>
              <w:bottom w:val="single" w:sz="4" w:space="0" w:color="auto"/>
              <w:right w:val="single" w:sz="4" w:space="0" w:color="auto"/>
            </w:tcBorders>
            <w:shd w:val="clear" w:color="000000" w:fill="FFFFFF"/>
            <w:noWrap/>
            <w:vAlign w:val="bottom"/>
            <w:hideMark/>
          </w:tcPr>
          <w:p w14:paraId="0B83A223" w14:textId="1C43F2D3" w:rsidR="00EC2495" w:rsidRPr="00577DAA" w:rsidRDefault="00EC2495" w:rsidP="00AC3620">
            <w:pPr>
              <w:jc w:val="center"/>
              <w:rPr>
                <w:rFonts w:cs="Calibri"/>
                <w:color w:val="172B4D"/>
              </w:rPr>
            </w:pPr>
            <w:r w:rsidRPr="00577DAA">
              <w:rPr>
                <w:rFonts w:cs="Calibri"/>
                <w:color w:val="172B4D"/>
              </w:rPr>
              <w:t>2</w:t>
            </w:r>
            <w:r w:rsidR="006B08F7">
              <w:rPr>
                <w:rFonts w:cs="Calibri"/>
                <w:color w:val="172B4D"/>
              </w:rPr>
              <w:t>.</w:t>
            </w:r>
            <w:r w:rsidRPr="00577DAA">
              <w:rPr>
                <w:rFonts w:cs="Calibri"/>
                <w:color w:val="172B4D"/>
              </w:rPr>
              <w:t>1</w:t>
            </w:r>
          </w:p>
        </w:tc>
      </w:tr>
      <w:tr w:rsidR="00EC2495" w:rsidRPr="001D1EBD" w14:paraId="27AE3059" w14:textId="77777777" w:rsidTr="00C84542">
        <w:trPr>
          <w:trHeight w:val="509"/>
        </w:trPr>
        <w:tc>
          <w:tcPr>
            <w:tcW w:w="5980" w:type="dxa"/>
            <w:tcBorders>
              <w:top w:val="nil"/>
              <w:left w:val="single" w:sz="4" w:space="0" w:color="auto"/>
              <w:bottom w:val="single" w:sz="4" w:space="0" w:color="auto"/>
              <w:right w:val="single" w:sz="4" w:space="0" w:color="auto"/>
            </w:tcBorders>
            <w:shd w:val="clear" w:color="000000" w:fill="FFFFFF"/>
            <w:vAlign w:val="center"/>
            <w:hideMark/>
          </w:tcPr>
          <w:p w14:paraId="33C68AF6"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Plant and machine operators, and assemblers</w:t>
            </w:r>
          </w:p>
        </w:tc>
        <w:tc>
          <w:tcPr>
            <w:tcW w:w="1720" w:type="dxa"/>
            <w:tcBorders>
              <w:top w:val="nil"/>
              <w:left w:val="nil"/>
              <w:bottom w:val="single" w:sz="4" w:space="0" w:color="auto"/>
              <w:right w:val="single" w:sz="4" w:space="0" w:color="auto"/>
            </w:tcBorders>
            <w:shd w:val="clear" w:color="000000" w:fill="FFFFFF"/>
            <w:noWrap/>
            <w:vAlign w:val="bottom"/>
            <w:hideMark/>
          </w:tcPr>
          <w:p w14:paraId="62CDD7EE" w14:textId="774C304E" w:rsidR="00EC2495" w:rsidRPr="00577DAA" w:rsidRDefault="00EC2495" w:rsidP="00AC3620">
            <w:pPr>
              <w:jc w:val="center"/>
              <w:rPr>
                <w:rFonts w:cs="Calibri"/>
                <w:color w:val="172B4D"/>
              </w:rPr>
            </w:pPr>
            <w:r w:rsidRPr="00577DAA">
              <w:rPr>
                <w:rFonts w:cs="Calibri"/>
                <w:color w:val="172B4D"/>
              </w:rPr>
              <w:t>0</w:t>
            </w:r>
            <w:r w:rsidR="006B08F7">
              <w:rPr>
                <w:rFonts w:cs="Calibri"/>
                <w:color w:val="172B4D"/>
              </w:rPr>
              <w:t>.</w:t>
            </w:r>
            <w:r w:rsidRPr="00577DAA">
              <w:rPr>
                <w:rFonts w:cs="Calibri"/>
                <w:color w:val="172B4D"/>
              </w:rPr>
              <w:t>1</w:t>
            </w:r>
          </w:p>
        </w:tc>
        <w:tc>
          <w:tcPr>
            <w:tcW w:w="1420" w:type="dxa"/>
            <w:tcBorders>
              <w:top w:val="nil"/>
              <w:left w:val="nil"/>
              <w:bottom w:val="single" w:sz="4" w:space="0" w:color="auto"/>
              <w:right w:val="single" w:sz="4" w:space="0" w:color="auto"/>
            </w:tcBorders>
            <w:shd w:val="clear" w:color="000000" w:fill="FFFFFF"/>
            <w:noWrap/>
            <w:vAlign w:val="bottom"/>
            <w:hideMark/>
          </w:tcPr>
          <w:p w14:paraId="0DE1BA21" w14:textId="54C37F2D" w:rsidR="00EC2495" w:rsidRPr="00577DAA" w:rsidRDefault="00EC2495" w:rsidP="00AC3620">
            <w:pPr>
              <w:jc w:val="center"/>
              <w:rPr>
                <w:rFonts w:cs="Calibri"/>
                <w:color w:val="172B4D"/>
              </w:rPr>
            </w:pPr>
            <w:r w:rsidRPr="00577DAA">
              <w:rPr>
                <w:rFonts w:cs="Calibri"/>
                <w:color w:val="172B4D"/>
              </w:rPr>
              <w:t>0</w:t>
            </w:r>
            <w:r w:rsidR="006B08F7">
              <w:rPr>
                <w:rFonts w:cs="Calibri"/>
                <w:color w:val="172B4D"/>
              </w:rPr>
              <w:t>.</w:t>
            </w:r>
            <w:r w:rsidRPr="00577DAA">
              <w:rPr>
                <w:rFonts w:cs="Calibri"/>
                <w:color w:val="172B4D"/>
              </w:rPr>
              <w:t>1</w:t>
            </w:r>
          </w:p>
        </w:tc>
      </w:tr>
      <w:tr w:rsidR="00EC2495" w:rsidRPr="001D1EBD" w14:paraId="7A908BCB" w14:textId="77777777" w:rsidTr="00C84542">
        <w:trPr>
          <w:trHeight w:val="509"/>
        </w:trPr>
        <w:tc>
          <w:tcPr>
            <w:tcW w:w="5980" w:type="dxa"/>
            <w:tcBorders>
              <w:top w:val="nil"/>
              <w:left w:val="single" w:sz="4" w:space="0" w:color="auto"/>
              <w:bottom w:val="single" w:sz="4" w:space="0" w:color="auto"/>
              <w:right w:val="single" w:sz="4" w:space="0" w:color="auto"/>
            </w:tcBorders>
            <w:shd w:val="clear" w:color="000000" w:fill="FFFFFF"/>
            <w:noWrap/>
            <w:vAlign w:val="center"/>
            <w:hideMark/>
          </w:tcPr>
          <w:p w14:paraId="60818E30"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Professionals</w:t>
            </w:r>
          </w:p>
        </w:tc>
        <w:tc>
          <w:tcPr>
            <w:tcW w:w="1720" w:type="dxa"/>
            <w:tcBorders>
              <w:top w:val="nil"/>
              <w:left w:val="nil"/>
              <w:bottom w:val="single" w:sz="4" w:space="0" w:color="auto"/>
              <w:right w:val="single" w:sz="4" w:space="0" w:color="auto"/>
            </w:tcBorders>
            <w:shd w:val="clear" w:color="000000" w:fill="FFFFFF"/>
            <w:noWrap/>
            <w:vAlign w:val="bottom"/>
            <w:hideMark/>
          </w:tcPr>
          <w:p w14:paraId="6538A8B1" w14:textId="7DF8471D" w:rsidR="00EC2495" w:rsidRPr="00577DAA" w:rsidRDefault="00EC2495" w:rsidP="00AC3620">
            <w:pPr>
              <w:jc w:val="center"/>
              <w:rPr>
                <w:rFonts w:cs="Calibri"/>
                <w:color w:val="172B4D"/>
              </w:rPr>
            </w:pPr>
            <w:r w:rsidRPr="00577DAA">
              <w:rPr>
                <w:rFonts w:cs="Calibri"/>
                <w:color w:val="172B4D"/>
              </w:rPr>
              <w:t>1</w:t>
            </w:r>
            <w:r w:rsidR="006B08F7">
              <w:rPr>
                <w:rFonts w:cs="Calibri"/>
                <w:color w:val="172B4D"/>
              </w:rPr>
              <w:t>.</w:t>
            </w:r>
            <w:r w:rsidRPr="00577DAA">
              <w:rPr>
                <w:rFonts w:cs="Calibri"/>
                <w:color w:val="172B4D"/>
              </w:rPr>
              <w:t>2</w:t>
            </w:r>
          </w:p>
        </w:tc>
        <w:tc>
          <w:tcPr>
            <w:tcW w:w="1420" w:type="dxa"/>
            <w:tcBorders>
              <w:top w:val="nil"/>
              <w:left w:val="nil"/>
              <w:bottom w:val="single" w:sz="4" w:space="0" w:color="auto"/>
              <w:right w:val="single" w:sz="4" w:space="0" w:color="auto"/>
            </w:tcBorders>
            <w:shd w:val="clear" w:color="000000" w:fill="FFFFFF"/>
            <w:noWrap/>
            <w:vAlign w:val="bottom"/>
            <w:hideMark/>
          </w:tcPr>
          <w:p w14:paraId="49AC85A9" w14:textId="3011E4B8" w:rsidR="00EC2495" w:rsidRPr="00577DAA" w:rsidRDefault="00EC2495" w:rsidP="00AC3620">
            <w:pPr>
              <w:jc w:val="center"/>
              <w:rPr>
                <w:rFonts w:cs="Calibri"/>
                <w:color w:val="172B4D"/>
              </w:rPr>
            </w:pPr>
            <w:r w:rsidRPr="00577DAA">
              <w:rPr>
                <w:rFonts w:cs="Calibri"/>
                <w:color w:val="172B4D"/>
              </w:rPr>
              <w:t>1</w:t>
            </w:r>
            <w:r w:rsidR="006B08F7">
              <w:rPr>
                <w:rFonts w:cs="Calibri"/>
                <w:color w:val="172B4D"/>
              </w:rPr>
              <w:t>.</w:t>
            </w:r>
            <w:r w:rsidRPr="00577DAA">
              <w:rPr>
                <w:rFonts w:cs="Calibri"/>
                <w:color w:val="172B4D"/>
              </w:rPr>
              <w:t>5</w:t>
            </w:r>
          </w:p>
        </w:tc>
      </w:tr>
      <w:tr w:rsidR="00EC2495" w:rsidRPr="001D1EBD" w14:paraId="7694315C" w14:textId="77777777" w:rsidTr="00C84542">
        <w:trPr>
          <w:trHeight w:val="509"/>
        </w:trPr>
        <w:tc>
          <w:tcPr>
            <w:tcW w:w="5980" w:type="dxa"/>
            <w:tcBorders>
              <w:top w:val="nil"/>
              <w:left w:val="single" w:sz="4" w:space="0" w:color="auto"/>
              <w:bottom w:val="single" w:sz="4" w:space="0" w:color="auto"/>
              <w:right w:val="single" w:sz="4" w:space="0" w:color="auto"/>
            </w:tcBorders>
            <w:shd w:val="clear" w:color="000000" w:fill="FFFFFF"/>
            <w:vAlign w:val="center"/>
            <w:hideMark/>
          </w:tcPr>
          <w:p w14:paraId="164FDE10"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Service and sales workers</w:t>
            </w:r>
          </w:p>
        </w:tc>
        <w:tc>
          <w:tcPr>
            <w:tcW w:w="1720" w:type="dxa"/>
            <w:tcBorders>
              <w:top w:val="nil"/>
              <w:left w:val="nil"/>
              <w:bottom w:val="single" w:sz="4" w:space="0" w:color="auto"/>
              <w:right w:val="single" w:sz="4" w:space="0" w:color="auto"/>
            </w:tcBorders>
            <w:shd w:val="clear" w:color="000000" w:fill="FFFFFF"/>
            <w:noWrap/>
            <w:vAlign w:val="bottom"/>
            <w:hideMark/>
          </w:tcPr>
          <w:p w14:paraId="1106D445" w14:textId="07B17196" w:rsidR="00EC2495" w:rsidRPr="00577DAA" w:rsidRDefault="00EC2495" w:rsidP="00AC3620">
            <w:pPr>
              <w:jc w:val="center"/>
              <w:rPr>
                <w:rFonts w:cs="Calibri"/>
                <w:color w:val="172B4D"/>
              </w:rPr>
            </w:pPr>
            <w:r w:rsidRPr="00577DAA">
              <w:rPr>
                <w:rFonts w:cs="Calibri"/>
                <w:color w:val="172B4D"/>
              </w:rPr>
              <w:t>0</w:t>
            </w:r>
            <w:r w:rsidR="006B08F7">
              <w:rPr>
                <w:rFonts w:cs="Calibri"/>
                <w:color w:val="172B4D"/>
              </w:rPr>
              <w:t>.</w:t>
            </w:r>
            <w:r w:rsidRPr="00577DAA">
              <w:rPr>
                <w:rFonts w:cs="Calibri"/>
                <w:color w:val="172B4D"/>
              </w:rPr>
              <w:t>1</w:t>
            </w:r>
          </w:p>
        </w:tc>
        <w:tc>
          <w:tcPr>
            <w:tcW w:w="1420" w:type="dxa"/>
            <w:tcBorders>
              <w:top w:val="nil"/>
              <w:left w:val="nil"/>
              <w:bottom w:val="single" w:sz="4" w:space="0" w:color="auto"/>
              <w:right w:val="single" w:sz="4" w:space="0" w:color="auto"/>
            </w:tcBorders>
            <w:shd w:val="clear" w:color="000000" w:fill="FFFFFF"/>
            <w:noWrap/>
            <w:vAlign w:val="bottom"/>
            <w:hideMark/>
          </w:tcPr>
          <w:p w14:paraId="4E0A2758" w14:textId="0AD8DD16" w:rsidR="00EC2495" w:rsidRPr="00577DAA" w:rsidRDefault="00EC2495" w:rsidP="00AC3620">
            <w:pPr>
              <w:jc w:val="center"/>
              <w:rPr>
                <w:rFonts w:cs="Calibri"/>
                <w:color w:val="172B4D"/>
              </w:rPr>
            </w:pPr>
            <w:r w:rsidRPr="00577DAA">
              <w:rPr>
                <w:rFonts w:cs="Calibri"/>
                <w:color w:val="172B4D"/>
              </w:rPr>
              <w:t>0</w:t>
            </w:r>
            <w:r w:rsidR="006B08F7">
              <w:rPr>
                <w:rFonts w:cs="Calibri"/>
                <w:color w:val="172B4D"/>
              </w:rPr>
              <w:t>.</w:t>
            </w:r>
            <w:r w:rsidRPr="00577DAA">
              <w:rPr>
                <w:rFonts w:cs="Calibri"/>
                <w:color w:val="172B4D"/>
              </w:rPr>
              <w:t>2</w:t>
            </w:r>
          </w:p>
        </w:tc>
      </w:tr>
      <w:tr w:rsidR="00EC2495" w:rsidRPr="001D1EBD" w14:paraId="490C01DF" w14:textId="77777777" w:rsidTr="00C84542">
        <w:trPr>
          <w:trHeight w:val="284"/>
        </w:trPr>
        <w:tc>
          <w:tcPr>
            <w:tcW w:w="5980" w:type="dxa"/>
            <w:tcBorders>
              <w:top w:val="nil"/>
              <w:left w:val="single" w:sz="4" w:space="0" w:color="auto"/>
              <w:bottom w:val="single" w:sz="4" w:space="0" w:color="auto"/>
              <w:right w:val="single" w:sz="4" w:space="0" w:color="auto"/>
            </w:tcBorders>
            <w:shd w:val="clear" w:color="000000" w:fill="FFFFFF"/>
            <w:vAlign w:val="center"/>
            <w:hideMark/>
          </w:tcPr>
          <w:p w14:paraId="2E3680D2"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Technicians and associate professionals</w:t>
            </w:r>
          </w:p>
        </w:tc>
        <w:tc>
          <w:tcPr>
            <w:tcW w:w="1720" w:type="dxa"/>
            <w:tcBorders>
              <w:top w:val="nil"/>
              <w:left w:val="nil"/>
              <w:bottom w:val="single" w:sz="4" w:space="0" w:color="auto"/>
              <w:right w:val="single" w:sz="4" w:space="0" w:color="auto"/>
            </w:tcBorders>
            <w:shd w:val="clear" w:color="000000" w:fill="FFFFFF"/>
            <w:noWrap/>
            <w:vAlign w:val="bottom"/>
            <w:hideMark/>
          </w:tcPr>
          <w:p w14:paraId="7BF8CF6D" w14:textId="52F78C9A" w:rsidR="00EC2495" w:rsidRPr="00577DAA" w:rsidRDefault="00EC2495" w:rsidP="00AC3620">
            <w:pPr>
              <w:jc w:val="center"/>
              <w:rPr>
                <w:rFonts w:cs="Calibri"/>
                <w:color w:val="172B4D"/>
              </w:rPr>
            </w:pPr>
            <w:r w:rsidRPr="00577DAA">
              <w:rPr>
                <w:rFonts w:cs="Calibri"/>
                <w:color w:val="172B4D"/>
              </w:rPr>
              <w:t>0</w:t>
            </w:r>
            <w:r w:rsidR="006B08F7">
              <w:rPr>
                <w:rFonts w:cs="Calibri"/>
                <w:color w:val="172B4D"/>
              </w:rPr>
              <w:t>.</w:t>
            </w:r>
            <w:r w:rsidRPr="00577DAA">
              <w:rPr>
                <w:rFonts w:cs="Calibri"/>
                <w:color w:val="172B4D"/>
              </w:rPr>
              <w:t>5</w:t>
            </w:r>
          </w:p>
        </w:tc>
        <w:tc>
          <w:tcPr>
            <w:tcW w:w="1420" w:type="dxa"/>
            <w:tcBorders>
              <w:top w:val="nil"/>
              <w:left w:val="nil"/>
              <w:bottom w:val="single" w:sz="4" w:space="0" w:color="auto"/>
              <w:right w:val="single" w:sz="4" w:space="0" w:color="auto"/>
            </w:tcBorders>
            <w:shd w:val="clear" w:color="000000" w:fill="FFFFFF"/>
            <w:noWrap/>
            <w:vAlign w:val="bottom"/>
            <w:hideMark/>
          </w:tcPr>
          <w:p w14:paraId="133A9252" w14:textId="25EB6388" w:rsidR="00EC2495" w:rsidRPr="00577DAA" w:rsidRDefault="00EC2495" w:rsidP="00AC3620">
            <w:pPr>
              <w:jc w:val="center"/>
              <w:rPr>
                <w:rFonts w:cs="Calibri"/>
                <w:color w:val="172B4D"/>
              </w:rPr>
            </w:pPr>
            <w:r w:rsidRPr="00577DAA">
              <w:rPr>
                <w:rFonts w:cs="Calibri"/>
                <w:color w:val="172B4D"/>
              </w:rPr>
              <w:t>0</w:t>
            </w:r>
            <w:r w:rsidR="006B08F7">
              <w:rPr>
                <w:rFonts w:cs="Calibri"/>
                <w:color w:val="172B4D"/>
              </w:rPr>
              <w:t>.</w:t>
            </w:r>
            <w:r w:rsidRPr="00577DAA">
              <w:rPr>
                <w:rFonts w:cs="Calibri"/>
                <w:color w:val="172B4D"/>
              </w:rPr>
              <w:t>4</w:t>
            </w:r>
          </w:p>
        </w:tc>
      </w:tr>
      <w:tr w:rsidR="00EC2495" w:rsidRPr="001D1EBD" w14:paraId="2758E685" w14:textId="77777777" w:rsidTr="00EC2495">
        <w:trPr>
          <w:trHeight w:val="375"/>
        </w:trPr>
        <w:tc>
          <w:tcPr>
            <w:tcW w:w="5980" w:type="dxa"/>
            <w:tcBorders>
              <w:top w:val="nil"/>
              <w:left w:val="single" w:sz="4" w:space="0" w:color="auto"/>
              <w:bottom w:val="single" w:sz="4" w:space="0" w:color="auto"/>
              <w:right w:val="single" w:sz="4" w:space="0" w:color="auto"/>
            </w:tcBorders>
            <w:shd w:val="clear" w:color="000000" w:fill="FFFFFF"/>
            <w:vAlign w:val="center"/>
            <w:hideMark/>
          </w:tcPr>
          <w:p w14:paraId="6CB096AF" w14:textId="77777777" w:rsidR="00EC2495" w:rsidRPr="00577DAA" w:rsidRDefault="00EC2495" w:rsidP="00EC2495">
            <w:pPr>
              <w:spacing w:after="0" w:line="240" w:lineRule="auto"/>
              <w:rPr>
                <w:rFonts w:eastAsia="Times New Roman" w:cs="Calibri"/>
                <w:b/>
                <w:color w:val="172B4D"/>
                <w:lang w:eastAsia="it-IT"/>
              </w:rPr>
            </w:pPr>
            <w:r w:rsidRPr="00577DAA">
              <w:rPr>
                <w:rFonts w:eastAsia="Times New Roman" w:cs="Calibri"/>
                <w:b/>
                <w:color w:val="172B4D"/>
                <w:lang w:eastAsia="it-IT"/>
              </w:rPr>
              <w:t>Total</w:t>
            </w:r>
          </w:p>
        </w:tc>
        <w:tc>
          <w:tcPr>
            <w:tcW w:w="1720" w:type="dxa"/>
            <w:tcBorders>
              <w:top w:val="nil"/>
              <w:left w:val="nil"/>
              <w:bottom w:val="single" w:sz="4" w:space="0" w:color="auto"/>
              <w:right w:val="single" w:sz="4" w:space="0" w:color="auto"/>
            </w:tcBorders>
            <w:shd w:val="clear" w:color="000000" w:fill="FFFFFF"/>
            <w:noWrap/>
            <w:vAlign w:val="center"/>
            <w:hideMark/>
          </w:tcPr>
          <w:p w14:paraId="4D91AD23" w14:textId="77777777" w:rsidR="00EC2495" w:rsidRPr="00577DAA" w:rsidRDefault="00EC2495" w:rsidP="00EC2495">
            <w:pPr>
              <w:jc w:val="center"/>
              <w:rPr>
                <w:rFonts w:cs="Calibri"/>
                <w:b/>
                <w:color w:val="172B4D"/>
              </w:rPr>
            </w:pPr>
            <w:r w:rsidRPr="00577DAA">
              <w:rPr>
                <w:rFonts w:cs="Calibri"/>
                <w:b/>
                <w:color w:val="172B4D"/>
              </w:rPr>
              <w:t>0,5</w:t>
            </w:r>
          </w:p>
        </w:tc>
        <w:tc>
          <w:tcPr>
            <w:tcW w:w="1420" w:type="dxa"/>
            <w:tcBorders>
              <w:top w:val="nil"/>
              <w:left w:val="nil"/>
              <w:bottom w:val="single" w:sz="4" w:space="0" w:color="auto"/>
              <w:right w:val="single" w:sz="4" w:space="0" w:color="auto"/>
            </w:tcBorders>
            <w:shd w:val="clear" w:color="000000" w:fill="FFFFFF"/>
            <w:noWrap/>
            <w:vAlign w:val="center"/>
            <w:hideMark/>
          </w:tcPr>
          <w:p w14:paraId="68ABF167" w14:textId="77777777" w:rsidR="00EC2495" w:rsidRPr="00577DAA" w:rsidRDefault="00EC2495" w:rsidP="00EC2495">
            <w:pPr>
              <w:jc w:val="center"/>
              <w:rPr>
                <w:rFonts w:cs="Calibri"/>
                <w:b/>
                <w:color w:val="172B4D"/>
              </w:rPr>
            </w:pPr>
            <w:r w:rsidRPr="00577DAA">
              <w:rPr>
                <w:rFonts w:cs="Calibri"/>
                <w:b/>
                <w:color w:val="172B4D"/>
              </w:rPr>
              <w:t>0,6</w:t>
            </w:r>
          </w:p>
        </w:tc>
      </w:tr>
    </w:tbl>
    <w:p w14:paraId="18903796" w14:textId="77777777" w:rsidR="00EC2495" w:rsidRDefault="00EC2495" w:rsidP="00EC2495">
      <w:pPr>
        <w:rPr>
          <w:lang w:val="en-GB"/>
        </w:rPr>
      </w:pPr>
    </w:p>
    <w:p w14:paraId="6FB142F7" w14:textId="5DA94116" w:rsidR="00EC2495" w:rsidRDefault="00EC2495" w:rsidP="00E931DB">
      <w:pPr>
        <w:jc w:val="both"/>
        <w:rPr>
          <w:rFonts w:ascii="Segoe UI" w:hAnsi="Segoe UI" w:cs="Segoe UI"/>
          <w:color w:val="172B4D"/>
          <w:sz w:val="21"/>
          <w:szCs w:val="21"/>
          <w:lang w:val="en-US"/>
        </w:rPr>
      </w:pPr>
      <w:r w:rsidRPr="00E931DB">
        <w:rPr>
          <w:rFonts w:ascii="Segoe UI" w:hAnsi="Segoe UI" w:cs="Segoe UI"/>
          <w:color w:val="172B4D"/>
          <w:sz w:val="21"/>
          <w:szCs w:val="21"/>
          <w:lang w:val="en-US"/>
        </w:rPr>
        <w:lastRenderedPageBreak/>
        <w:t xml:space="preserve">Similarly, </w:t>
      </w:r>
      <w:r w:rsidR="00641F94">
        <w:rPr>
          <w:rFonts w:ascii="Segoe UI" w:hAnsi="Segoe UI" w:cs="Segoe UI"/>
          <w:color w:val="172B4D"/>
          <w:sz w:val="21"/>
          <w:szCs w:val="21"/>
          <w:lang w:val="en-US"/>
        </w:rPr>
        <w:t>starting from</w:t>
      </w:r>
      <w:r w:rsidRPr="00E931DB">
        <w:rPr>
          <w:rFonts w:ascii="Segoe UI" w:hAnsi="Segoe UI" w:cs="Segoe UI"/>
          <w:color w:val="172B4D"/>
          <w:sz w:val="21"/>
          <w:szCs w:val="21"/>
          <w:lang w:val="en-US"/>
        </w:rPr>
        <w:t xml:space="preserve"> the distribution of job</w:t>
      </w:r>
      <w:r w:rsidR="00641F94">
        <w:rPr>
          <w:rFonts w:ascii="Segoe UI" w:hAnsi="Segoe UI" w:cs="Segoe UI"/>
          <w:color w:val="172B4D"/>
          <w:sz w:val="21"/>
          <w:szCs w:val="21"/>
          <w:lang w:val="en-US"/>
        </w:rPr>
        <w:t xml:space="preserve"> positions</w:t>
      </w:r>
      <w:r w:rsidRPr="00E931DB">
        <w:rPr>
          <w:rFonts w:ascii="Segoe UI" w:hAnsi="Segoe UI" w:cs="Segoe UI"/>
          <w:color w:val="172B4D"/>
          <w:sz w:val="21"/>
          <w:szCs w:val="21"/>
          <w:lang w:val="en-US"/>
        </w:rPr>
        <w:t xml:space="preserve"> by territorial division, it is possible to calculate the </w:t>
      </w:r>
      <w:r w:rsidR="00641F94">
        <w:rPr>
          <w:rFonts w:ascii="Segoe UI" w:hAnsi="Segoe UI" w:cs="Segoe UI"/>
          <w:color w:val="172B4D"/>
          <w:sz w:val="21"/>
          <w:szCs w:val="21"/>
          <w:lang w:val="en-US"/>
        </w:rPr>
        <w:t xml:space="preserve">online </w:t>
      </w:r>
      <w:r w:rsidRPr="00E931DB">
        <w:rPr>
          <w:rFonts w:ascii="Segoe UI" w:hAnsi="Segoe UI" w:cs="Segoe UI"/>
          <w:color w:val="172B4D"/>
          <w:sz w:val="21"/>
          <w:szCs w:val="21"/>
          <w:lang w:val="en-US"/>
        </w:rPr>
        <w:t>vacancy rate by geographical area</w:t>
      </w:r>
      <w:r w:rsidR="00641F94">
        <w:rPr>
          <w:rFonts w:ascii="Segoe UI" w:hAnsi="Segoe UI" w:cs="Segoe UI"/>
          <w:color w:val="172B4D"/>
          <w:sz w:val="21"/>
          <w:szCs w:val="21"/>
          <w:lang w:val="en-US"/>
        </w:rPr>
        <w:t xml:space="preserve"> (Table 5-7)</w:t>
      </w:r>
      <w:r w:rsidRPr="00E931DB">
        <w:rPr>
          <w:rFonts w:ascii="Segoe UI" w:hAnsi="Segoe UI" w:cs="Segoe UI"/>
          <w:color w:val="172B4D"/>
          <w:sz w:val="21"/>
          <w:szCs w:val="21"/>
          <w:lang w:val="en-US"/>
        </w:rPr>
        <w:t>. In this case</w:t>
      </w:r>
      <w:r w:rsidR="00641F94">
        <w:rPr>
          <w:rFonts w:ascii="Segoe UI" w:hAnsi="Segoe UI" w:cs="Segoe UI"/>
          <w:color w:val="172B4D"/>
          <w:sz w:val="21"/>
          <w:szCs w:val="21"/>
          <w:lang w:val="en-US"/>
        </w:rPr>
        <w:t>,</w:t>
      </w:r>
      <w:r w:rsidRPr="00E931DB">
        <w:rPr>
          <w:rFonts w:ascii="Segoe UI" w:hAnsi="Segoe UI" w:cs="Segoe UI"/>
          <w:color w:val="172B4D"/>
          <w:sz w:val="21"/>
          <w:szCs w:val="21"/>
          <w:lang w:val="en-US"/>
        </w:rPr>
        <w:t xml:space="preserve"> the </w:t>
      </w:r>
      <w:r w:rsidR="00641F94">
        <w:rPr>
          <w:rFonts w:ascii="Segoe UI" w:hAnsi="Segoe UI" w:cs="Segoe UI"/>
          <w:color w:val="172B4D"/>
          <w:sz w:val="21"/>
          <w:szCs w:val="21"/>
          <w:lang w:val="en-US"/>
        </w:rPr>
        <w:t xml:space="preserve">online </w:t>
      </w:r>
      <w:r w:rsidRPr="00E931DB">
        <w:rPr>
          <w:rFonts w:ascii="Segoe UI" w:hAnsi="Segoe UI" w:cs="Segoe UI"/>
          <w:color w:val="172B4D"/>
          <w:sz w:val="21"/>
          <w:szCs w:val="21"/>
          <w:lang w:val="en-US"/>
        </w:rPr>
        <w:t xml:space="preserve">vacancy rate for the total </w:t>
      </w:r>
      <w:r w:rsidR="00641F94">
        <w:rPr>
          <w:rFonts w:ascii="Segoe UI" w:hAnsi="Segoe UI" w:cs="Segoe UI"/>
          <w:color w:val="172B4D"/>
          <w:sz w:val="21"/>
          <w:szCs w:val="21"/>
          <w:lang w:val="en-US"/>
        </w:rPr>
        <w:t xml:space="preserve">national territory </w:t>
      </w:r>
      <w:r w:rsidRPr="00E931DB">
        <w:rPr>
          <w:rFonts w:ascii="Segoe UI" w:hAnsi="Segoe UI" w:cs="Segoe UI"/>
          <w:color w:val="172B4D"/>
          <w:sz w:val="21"/>
          <w:szCs w:val="21"/>
          <w:lang w:val="en-US"/>
        </w:rPr>
        <w:t xml:space="preserve">does not correspond to that </w:t>
      </w:r>
      <w:r w:rsidR="00641F94">
        <w:rPr>
          <w:rFonts w:ascii="Segoe UI" w:hAnsi="Segoe UI" w:cs="Segoe UI"/>
          <w:color w:val="172B4D"/>
          <w:sz w:val="21"/>
          <w:szCs w:val="21"/>
          <w:lang w:val="en-US"/>
        </w:rPr>
        <w:t>showed in the first section of this annex</w:t>
      </w:r>
      <w:r w:rsidRPr="00E931DB">
        <w:rPr>
          <w:rFonts w:ascii="Segoe UI" w:hAnsi="Segoe UI" w:cs="Segoe UI"/>
          <w:color w:val="172B4D"/>
          <w:sz w:val="21"/>
          <w:szCs w:val="21"/>
          <w:lang w:val="en-US"/>
        </w:rPr>
        <w:t xml:space="preserve">, as it was not possible to detect the geographical area for all job advertisements. </w:t>
      </w:r>
      <w:r w:rsidR="005B7F20">
        <w:rPr>
          <w:rFonts w:ascii="Segoe UI" w:hAnsi="Segoe UI" w:cs="Segoe UI"/>
          <w:color w:val="172B4D"/>
          <w:sz w:val="21"/>
          <w:szCs w:val="21"/>
          <w:lang w:val="en-US"/>
        </w:rPr>
        <w:t xml:space="preserve">Both in the third and fourth quarter 2019, online job vacant positions located in </w:t>
      </w:r>
      <w:r w:rsidR="005B7F20" w:rsidRPr="00577DAA">
        <w:rPr>
          <w:rFonts w:eastAsia="Times New Roman" w:cs="Calibri"/>
          <w:color w:val="172B4D"/>
          <w:lang w:eastAsia="it-IT"/>
        </w:rPr>
        <w:t>North - West</w:t>
      </w:r>
      <w:r w:rsidR="005B7F20">
        <w:rPr>
          <w:rFonts w:ascii="Segoe UI" w:hAnsi="Segoe UI" w:cs="Segoe UI"/>
          <w:color w:val="172B4D"/>
          <w:sz w:val="21"/>
          <w:szCs w:val="21"/>
          <w:lang w:val="en-US"/>
        </w:rPr>
        <w:t xml:space="preserve"> and </w:t>
      </w:r>
      <w:r w:rsidR="005B7F20" w:rsidRPr="00577DAA">
        <w:rPr>
          <w:rFonts w:eastAsia="Times New Roman" w:cs="Calibri"/>
          <w:color w:val="172B4D"/>
          <w:lang w:eastAsia="it-IT"/>
        </w:rPr>
        <w:t>North - East</w:t>
      </w:r>
      <w:r w:rsidR="005B7F20">
        <w:rPr>
          <w:rFonts w:ascii="Segoe UI" w:hAnsi="Segoe UI" w:cs="Segoe UI"/>
          <w:color w:val="172B4D"/>
          <w:sz w:val="21"/>
          <w:szCs w:val="21"/>
          <w:lang w:val="en-US"/>
        </w:rPr>
        <w:t xml:space="preserve"> of Italy show an increase higher than the average one.</w:t>
      </w:r>
    </w:p>
    <w:p w14:paraId="4132CEAC" w14:textId="42BC9ECB" w:rsidR="00615208" w:rsidRDefault="00615208" w:rsidP="00E931DB">
      <w:pPr>
        <w:jc w:val="both"/>
        <w:rPr>
          <w:rFonts w:ascii="Segoe UI" w:hAnsi="Segoe UI" w:cs="Segoe UI"/>
          <w:color w:val="172B4D"/>
          <w:sz w:val="21"/>
          <w:szCs w:val="21"/>
          <w:lang w:val="en-US"/>
        </w:rPr>
      </w:pPr>
    </w:p>
    <w:p w14:paraId="7E62F6E3" w14:textId="77777777" w:rsidR="00EC2495" w:rsidRPr="00336523" w:rsidRDefault="00EC2495" w:rsidP="00EC2495">
      <w:pPr>
        <w:rPr>
          <w:i/>
          <w:iCs/>
          <w:color w:val="44546A" w:themeColor="text2"/>
          <w:sz w:val="18"/>
          <w:szCs w:val="18"/>
          <w:lang w:val="en-GB"/>
        </w:rPr>
      </w:pPr>
      <w:r>
        <w:rPr>
          <w:i/>
          <w:iCs/>
          <w:color w:val="44546A" w:themeColor="text2"/>
          <w:sz w:val="18"/>
          <w:szCs w:val="18"/>
          <w:lang w:val="en-GB"/>
        </w:rPr>
        <w:t>Table 5</w:t>
      </w:r>
      <w:r w:rsidRPr="00336523">
        <w:rPr>
          <w:i/>
          <w:iCs/>
          <w:color w:val="44546A" w:themeColor="text2"/>
          <w:sz w:val="18"/>
          <w:szCs w:val="18"/>
          <w:lang w:val="en-GB"/>
        </w:rPr>
        <w:t xml:space="preserve">: Percentage distribution of employees </w:t>
      </w:r>
      <w:r>
        <w:rPr>
          <w:i/>
          <w:iCs/>
          <w:color w:val="44546A" w:themeColor="text2"/>
          <w:sz w:val="18"/>
          <w:szCs w:val="18"/>
          <w:lang w:val="en-GB"/>
        </w:rPr>
        <w:t>by</w:t>
      </w:r>
      <w:r w:rsidRPr="00336523">
        <w:rPr>
          <w:i/>
          <w:iCs/>
          <w:color w:val="44546A" w:themeColor="text2"/>
          <w:sz w:val="18"/>
          <w:szCs w:val="18"/>
          <w:lang w:val="en-GB"/>
        </w:rPr>
        <w:t xml:space="preserve"> </w:t>
      </w:r>
      <w:r>
        <w:rPr>
          <w:i/>
          <w:iCs/>
          <w:color w:val="44546A" w:themeColor="text2"/>
          <w:sz w:val="18"/>
          <w:szCs w:val="18"/>
          <w:lang w:val="en-GB"/>
        </w:rPr>
        <w:t xml:space="preserve">geographical area </w:t>
      </w:r>
      <w:r w:rsidRPr="00336523">
        <w:rPr>
          <w:i/>
          <w:iCs/>
          <w:color w:val="44546A" w:themeColor="text2"/>
          <w:sz w:val="18"/>
          <w:szCs w:val="18"/>
          <w:lang w:val="en-GB"/>
        </w:rPr>
        <w:t>and quarter</w:t>
      </w:r>
    </w:p>
    <w:tbl>
      <w:tblPr>
        <w:tblW w:w="5000" w:type="pct"/>
        <w:tblCellMar>
          <w:left w:w="70" w:type="dxa"/>
          <w:right w:w="70" w:type="dxa"/>
        </w:tblCellMar>
        <w:tblLook w:val="04A0" w:firstRow="1" w:lastRow="0" w:firstColumn="1" w:lastColumn="0" w:noHBand="0" w:noVBand="1"/>
      </w:tblPr>
      <w:tblGrid>
        <w:gridCol w:w="2414"/>
        <w:gridCol w:w="1101"/>
        <w:gridCol w:w="1101"/>
        <w:gridCol w:w="1100"/>
        <w:gridCol w:w="1100"/>
        <w:gridCol w:w="1100"/>
        <w:gridCol w:w="1100"/>
      </w:tblGrid>
      <w:tr w:rsidR="00EC2495" w:rsidRPr="00577DAA" w14:paraId="7DAD2BD0" w14:textId="77777777" w:rsidTr="00577DAA">
        <w:trPr>
          <w:trHeight w:val="375"/>
        </w:trPr>
        <w:tc>
          <w:tcPr>
            <w:tcW w:w="133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657BB" w14:textId="77777777" w:rsidR="00EC2495" w:rsidRPr="00577DAA" w:rsidRDefault="00EC2495" w:rsidP="00577DAA">
            <w:pPr>
              <w:jc w:val="both"/>
              <w:rPr>
                <w:rFonts w:ascii="Segoe UI" w:hAnsi="Segoe UI" w:cs="Segoe UI"/>
                <w:b/>
                <w:color w:val="172B4D"/>
                <w:sz w:val="21"/>
                <w:szCs w:val="21"/>
                <w:lang w:val="en-US"/>
              </w:rPr>
            </w:pPr>
            <w:r w:rsidRPr="00577DAA">
              <w:rPr>
                <w:rFonts w:ascii="Segoe UI" w:hAnsi="Segoe UI" w:cs="Segoe UI"/>
                <w:b/>
                <w:color w:val="172B4D"/>
                <w:sz w:val="21"/>
                <w:szCs w:val="21"/>
                <w:lang w:val="en-US"/>
              </w:rPr>
              <w:t>Geographical area</w:t>
            </w:r>
          </w:p>
        </w:tc>
        <w:tc>
          <w:tcPr>
            <w:tcW w:w="61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9805EC0" w14:textId="77777777" w:rsidR="00EC2495" w:rsidRPr="00577DAA" w:rsidRDefault="00EC2495" w:rsidP="00AC3620">
            <w:pPr>
              <w:jc w:val="center"/>
              <w:rPr>
                <w:rFonts w:ascii="Segoe UI" w:hAnsi="Segoe UI" w:cs="Segoe UI"/>
                <w:b/>
                <w:color w:val="172B4D"/>
                <w:sz w:val="21"/>
                <w:szCs w:val="21"/>
                <w:lang w:val="en-US"/>
              </w:rPr>
            </w:pPr>
            <w:r w:rsidRPr="00577DAA">
              <w:rPr>
                <w:rFonts w:ascii="Segoe UI" w:hAnsi="Segoe UI" w:cs="Segoe UI"/>
                <w:b/>
                <w:color w:val="172B4D"/>
                <w:sz w:val="21"/>
                <w:szCs w:val="21"/>
                <w:lang w:val="en-US"/>
              </w:rPr>
              <w:t>Q32018</w:t>
            </w:r>
          </w:p>
        </w:tc>
        <w:tc>
          <w:tcPr>
            <w:tcW w:w="61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CBFBFF8" w14:textId="77777777" w:rsidR="00EC2495" w:rsidRPr="00577DAA" w:rsidRDefault="00EC2495" w:rsidP="00AC3620">
            <w:pPr>
              <w:jc w:val="center"/>
              <w:rPr>
                <w:rFonts w:ascii="Segoe UI" w:hAnsi="Segoe UI" w:cs="Segoe UI"/>
                <w:b/>
                <w:color w:val="172B4D"/>
                <w:sz w:val="21"/>
                <w:szCs w:val="21"/>
                <w:lang w:val="en-US"/>
              </w:rPr>
            </w:pPr>
            <w:r w:rsidRPr="00577DAA">
              <w:rPr>
                <w:rFonts w:ascii="Segoe UI" w:hAnsi="Segoe UI" w:cs="Segoe UI"/>
                <w:b/>
                <w:color w:val="172B4D"/>
                <w:sz w:val="21"/>
                <w:szCs w:val="21"/>
                <w:lang w:val="en-US"/>
              </w:rPr>
              <w:t>Q42018</w:t>
            </w:r>
          </w:p>
        </w:tc>
        <w:tc>
          <w:tcPr>
            <w:tcW w:w="61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3346D3A" w14:textId="77777777" w:rsidR="00EC2495" w:rsidRPr="00577DAA" w:rsidRDefault="00EC2495" w:rsidP="00AC3620">
            <w:pPr>
              <w:jc w:val="center"/>
              <w:rPr>
                <w:rFonts w:ascii="Segoe UI" w:hAnsi="Segoe UI" w:cs="Segoe UI"/>
                <w:b/>
                <w:color w:val="172B4D"/>
                <w:sz w:val="21"/>
                <w:szCs w:val="21"/>
                <w:lang w:val="en-US"/>
              </w:rPr>
            </w:pPr>
            <w:r w:rsidRPr="00577DAA">
              <w:rPr>
                <w:rFonts w:ascii="Segoe UI" w:hAnsi="Segoe UI" w:cs="Segoe UI"/>
                <w:b/>
                <w:color w:val="172B4D"/>
                <w:sz w:val="21"/>
                <w:szCs w:val="21"/>
                <w:lang w:val="en-US"/>
              </w:rPr>
              <w:t>Q12019</w:t>
            </w:r>
          </w:p>
        </w:tc>
        <w:tc>
          <w:tcPr>
            <w:tcW w:w="61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D4F25A2" w14:textId="77777777" w:rsidR="00EC2495" w:rsidRPr="00577DAA" w:rsidRDefault="00EC2495" w:rsidP="00AC3620">
            <w:pPr>
              <w:jc w:val="center"/>
              <w:rPr>
                <w:rFonts w:ascii="Segoe UI" w:hAnsi="Segoe UI" w:cs="Segoe UI"/>
                <w:b/>
                <w:color w:val="172B4D"/>
                <w:sz w:val="21"/>
                <w:szCs w:val="21"/>
                <w:lang w:val="en-US"/>
              </w:rPr>
            </w:pPr>
            <w:r w:rsidRPr="00577DAA">
              <w:rPr>
                <w:rFonts w:ascii="Segoe UI" w:hAnsi="Segoe UI" w:cs="Segoe UI"/>
                <w:b/>
                <w:color w:val="172B4D"/>
                <w:sz w:val="21"/>
                <w:szCs w:val="21"/>
                <w:lang w:val="en-US"/>
              </w:rPr>
              <w:t>Q22019</w:t>
            </w:r>
          </w:p>
        </w:tc>
        <w:tc>
          <w:tcPr>
            <w:tcW w:w="61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0639057" w14:textId="77777777" w:rsidR="00EC2495" w:rsidRPr="00577DAA" w:rsidRDefault="00EC2495" w:rsidP="00AC3620">
            <w:pPr>
              <w:jc w:val="center"/>
              <w:rPr>
                <w:rFonts w:ascii="Segoe UI" w:hAnsi="Segoe UI" w:cs="Segoe UI"/>
                <w:b/>
                <w:color w:val="172B4D"/>
                <w:sz w:val="21"/>
                <w:szCs w:val="21"/>
                <w:lang w:val="en-US"/>
              </w:rPr>
            </w:pPr>
            <w:r w:rsidRPr="00577DAA">
              <w:rPr>
                <w:rFonts w:ascii="Segoe UI" w:hAnsi="Segoe UI" w:cs="Segoe UI"/>
                <w:b/>
                <w:color w:val="172B4D"/>
                <w:sz w:val="21"/>
                <w:szCs w:val="21"/>
                <w:lang w:val="en-US"/>
              </w:rPr>
              <w:t>Q32019</w:t>
            </w:r>
          </w:p>
        </w:tc>
        <w:tc>
          <w:tcPr>
            <w:tcW w:w="61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6A5474D" w14:textId="77777777" w:rsidR="00EC2495" w:rsidRPr="00577DAA" w:rsidRDefault="00EC2495" w:rsidP="00AC3620">
            <w:pPr>
              <w:jc w:val="center"/>
              <w:rPr>
                <w:rFonts w:ascii="Segoe UI" w:hAnsi="Segoe UI" w:cs="Segoe UI"/>
                <w:b/>
                <w:color w:val="172B4D"/>
                <w:sz w:val="21"/>
                <w:szCs w:val="21"/>
                <w:lang w:val="en-US"/>
              </w:rPr>
            </w:pPr>
            <w:r w:rsidRPr="00577DAA">
              <w:rPr>
                <w:rFonts w:ascii="Segoe UI" w:hAnsi="Segoe UI" w:cs="Segoe UI"/>
                <w:b/>
                <w:color w:val="172B4D"/>
                <w:sz w:val="21"/>
                <w:szCs w:val="21"/>
                <w:lang w:val="en-US"/>
              </w:rPr>
              <w:t>Q42019</w:t>
            </w:r>
          </w:p>
        </w:tc>
      </w:tr>
      <w:tr w:rsidR="00EC2495" w:rsidRPr="00336523" w14:paraId="6C16FA6D" w14:textId="77777777" w:rsidTr="00EC2495">
        <w:trPr>
          <w:trHeight w:val="375"/>
        </w:trPr>
        <w:tc>
          <w:tcPr>
            <w:tcW w:w="1337" w:type="pct"/>
            <w:tcBorders>
              <w:top w:val="nil"/>
              <w:left w:val="single" w:sz="4" w:space="0" w:color="auto"/>
              <w:bottom w:val="single" w:sz="4" w:space="0" w:color="auto"/>
              <w:right w:val="single" w:sz="4" w:space="0" w:color="auto"/>
            </w:tcBorders>
            <w:shd w:val="clear" w:color="000000" w:fill="FFFFFF"/>
            <w:vAlign w:val="center"/>
            <w:hideMark/>
          </w:tcPr>
          <w:p w14:paraId="7776B868" w14:textId="1F44D69C" w:rsidR="00EC2495" w:rsidRPr="00577DAA" w:rsidRDefault="005B7F20" w:rsidP="00EC2495">
            <w:pPr>
              <w:spacing w:after="0" w:line="240" w:lineRule="auto"/>
              <w:rPr>
                <w:rFonts w:eastAsia="Times New Roman" w:cs="Calibri"/>
                <w:color w:val="172B4D"/>
                <w:lang w:eastAsia="it-IT"/>
              </w:rPr>
            </w:pPr>
            <w:r w:rsidRPr="00577DAA">
              <w:rPr>
                <w:rFonts w:eastAsia="Times New Roman" w:cs="Calibri"/>
                <w:color w:val="172B4D"/>
                <w:lang w:eastAsia="it-IT"/>
              </w:rPr>
              <w:t>North - West</w:t>
            </w:r>
          </w:p>
        </w:tc>
        <w:tc>
          <w:tcPr>
            <w:tcW w:w="610" w:type="pct"/>
            <w:tcBorders>
              <w:top w:val="nil"/>
              <w:left w:val="nil"/>
              <w:bottom w:val="single" w:sz="4" w:space="0" w:color="auto"/>
              <w:right w:val="single" w:sz="4" w:space="0" w:color="auto"/>
            </w:tcBorders>
            <w:shd w:val="clear" w:color="000000" w:fill="FFFFFF"/>
            <w:noWrap/>
            <w:vAlign w:val="center"/>
            <w:hideMark/>
          </w:tcPr>
          <w:p w14:paraId="208D52B6" w14:textId="5C7667C7" w:rsidR="00EC2495" w:rsidRPr="00577DAA" w:rsidRDefault="00EC2495" w:rsidP="00EC2495">
            <w:pPr>
              <w:jc w:val="center"/>
              <w:rPr>
                <w:rFonts w:cs="Calibri"/>
                <w:color w:val="172B4D"/>
              </w:rPr>
            </w:pPr>
            <w:r w:rsidRPr="00577DAA">
              <w:rPr>
                <w:rFonts w:cs="Calibri"/>
                <w:color w:val="172B4D"/>
              </w:rPr>
              <w:t>30</w:t>
            </w:r>
            <w:r w:rsidR="00641F94">
              <w:rPr>
                <w:rFonts w:cs="Calibri"/>
                <w:color w:val="172B4D"/>
              </w:rPr>
              <w:t>.</w:t>
            </w:r>
            <w:r w:rsidRPr="00577DAA">
              <w:rPr>
                <w:rFonts w:cs="Calibri"/>
                <w:color w:val="172B4D"/>
              </w:rPr>
              <w:t>0</w:t>
            </w:r>
          </w:p>
        </w:tc>
        <w:tc>
          <w:tcPr>
            <w:tcW w:w="610" w:type="pct"/>
            <w:tcBorders>
              <w:top w:val="nil"/>
              <w:left w:val="nil"/>
              <w:bottom w:val="single" w:sz="4" w:space="0" w:color="auto"/>
              <w:right w:val="single" w:sz="4" w:space="0" w:color="auto"/>
            </w:tcBorders>
            <w:shd w:val="clear" w:color="000000" w:fill="FFFFFF"/>
            <w:noWrap/>
            <w:vAlign w:val="center"/>
            <w:hideMark/>
          </w:tcPr>
          <w:p w14:paraId="68AADD5E" w14:textId="2EBF9B20" w:rsidR="00EC2495" w:rsidRPr="00577DAA" w:rsidRDefault="00EC2495" w:rsidP="00EC2495">
            <w:pPr>
              <w:jc w:val="center"/>
              <w:rPr>
                <w:rFonts w:cs="Calibri"/>
                <w:color w:val="172B4D"/>
              </w:rPr>
            </w:pPr>
            <w:r w:rsidRPr="00577DAA">
              <w:rPr>
                <w:rFonts w:cs="Calibri"/>
                <w:color w:val="172B4D"/>
              </w:rPr>
              <w:t>30</w:t>
            </w:r>
            <w:r w:rsidR="00641F94">
              <w:rPr>
                <w:rFonts w:cs="Calibri"/>
                <w:color w:val="172B4D"/>
              </w:rPr>
              <w:t>.</w:t>
            </w:r>
            <w:r w:rsidRPr="00577DAA">
              <w:rPr>
                <w:rFonts w:cs="Calibri"/>
                <w:color w:val="172B4D"/>
              </w:rPr>
              <w:t>5</w:t>
            </w:r>
          </w:p>
        </w:tc>
        <w:tc>
          <w:tcPr>
            <w:tcW w:w="610" w:type="pct"/>
            <w:tcBorders>
              <w:top w:val="nil"/>
              <w:left w:val="nil"/>
              <w:bottom w:val="single" w:sz="4" w:space="0" w:color="auto"/>
              <w:right w:val="single" w:sz="4" w:space="0" w:color="auto"/>
            </w:tcBorders>
            <w:shd w:val="clear" w:color="000000" w:fill="FFFFFF"/>
            <w:noWrap/>
            <w:vAlign w:val="center"/>
            <w:hideMark/>
          </w:tcPr>
          <w:p w14:paraId="7DFB4366" w14:textId="5933C0F6" w:rsidR="00EC2495" w:rsidRPr="00577DAA" w:rsidRDefault="00EC2495" w:rsidP="00EC2495">
            <w:pPr>
              <w:jc w:val="center"/>
              <w:rPr>
                <w:rFonts w:cs="Calibri"/>
                <w:color w:val="172B4D"/>
              </w:rPr>
            </w:pPr>
            <w:r w:rsidRPr="00577DAA">
              <w:rPr>
                <w:rFonts w:cs="Calibri"/>
                <w:color w:val="172B4D"/>
              </w:rPr>
              <w:t>30</w:t>
            </w:r>
            <w:r w:rsidR="00641F94">
              <w:rPr>
                <w:rFonts w:cs="Calibri"/>
                <w:color w:val="172B4D"/>
              </w:rPr>
              <w:t>.</w:t>
            </w:r>
            <w:r w:rsidRPr="00577DAA">
              <w:rPr>
                <w:rFonts w:cs="Calibri"/>
                <w:color w:val="172B4D"/>
              </w:rPr>
              <w:t>7</w:t>
            </w:r>
          </w:p>
        </w:tc>
        <w:tc>
          <w:tcPr>
            <w:tcW w:w="610" w:type="pct"/>
            <w:tcBorders>
              <w:top w:val="nil"/>
              <w:left w:val="nil"/>
              <w:bottom w:val="single" w:sz="4" w:space="0" w:color="auto"/>
              <w:right w:val="single" w:sz="4" w:space="0" w:color="auto"/>
            </w:tcBorders>
            <w:shd w:val="clear" w:color="000000" w:fill="FFFFFF"/>
            <w:noWrap/>
            <w:vAlign w:val="center"/>
            <w:hideMark/>
          </w:tcPr>
          <w:p w14:paraId="2B55A19B" w14:textId="5B0F052B" w:rsidR="00EC2495" w:rsidRPr="00577DAA" w:rsidRDefault="00EC2495" w:rsidP="00EC2495">
            <w:pPr>
              <w:jc w:val="center"/>
              <w:rPr>
                <w:rFonts w:cs="Calibri"/>
                <w:color w:val="172B4D"/>
              </w:rPr>
            </w:pPr>
            <w:r w:rsidRPr="00577DAA">
              <w:rPr>
                <w:rFonts w:cs="Calibri"/>
                <w:color w:val="172B4D"/>
              </w:rPr>
              <w:t>30</w:t>
            </w:r>
            <w:r w:rsidR="00641F94">
              <w:rPr>
                <w:rFonts w:cs="Calibri"/>
                <w:color w:val="172B4D"/>
              </w:rPr>
              <w:t>.</w:t>
            </w:r>
            <w:r w:rsidRPr="00577DAA">
              <w:rPr>
                <w:rFonts w:cs="Calibri"/>
                <w:color w:val="172B4D"/>
              </w:rPr>
              <w:t>1</w:t>
            </w:r>
          </w:p>
        </w:tc>
        <w:tc>
          <w:tcPr>
            <w:tcW w:w="610" w:type="pct"/>
            <w:tcBorders>
              <w:top w:val="nil"/>
              <w:left w:val="nil"/>
              <w:bottom w:val="single" w:sz="4" w:space="0" w:color="auto"/>
              <w:right w:val="single" w:sz="4" w:space="0" w:color="auto"/>
            </w:tcBorders>
            <w:shd w:val="clear" w:color="000000" w:fill="FFFFFF"/>
            <w:noWrap/>
            <w:vAlign w:val="center"/>
            <w:hideMark/>
          </w:tcPr>
          <w:p w14:paraId="0F259366" w14:textId="1EC46C48" w:rsidR="00EC2495" w:rsidRPr="00577DAA" w:rsidRDefault="00EC2495" w:rsidP="00EC2495">
            <w:pPr>
              <w:jc w:val="center"/>
              <w:rPr>
                <w:rFonts w:cs="Calibri"/>
                <w:color w:val="172B4D"/>
              </w:rPr>
            </w:pPr>
            <w:r w:rsidRPr="00577DAA">
              <w:rPr>
                <w:rFonts w:cs="Calibri"/>
                <w:color w:val="172B4D"/>
              </w:rPr>
              <w:t>29</w:t>
            </w:r>
            <w:r w:rsidR="00641F94">
              <w:rPr>
                <w:rFonts w:cs="Calibri"/>
                <w:color w:val="172B4D"/>
              </w:rPr>
              <w:t>.</w:t>
            </w:r>
            <w:r w:rsidRPr="00577DAA">
              <w:rPr>
                <w:rFonts w:cs="Calibri"/>
                <w:color w:val="172B4D"/>
              </w:rPr>
              <w:t>9</w:t>
            </w:r>
          </w:p>
        </w:tc>
        <w:tc>
          <w:tcPr>
            <w:tcW w:w="610" w:type="pct"/>
            <w:tcBorders>
              <w:top w:val="nil"/>
              <w:left w:val="nil"/>
              <w:bottom w:val="single" w:sz="4" w:space="0" w:color="auto"/>
              <w:right w:val="single" w:sz="4" w:space="0" w:color="auto"/>
            </w:tcBorders>
            <w:shd w:val="clear" w:color="000000" w:fill="FFFFFF"/>
            <w:noWrap/>
            <w:vAlign w:val="center"/>
            <w:hideMark/>
          </w:tcPr>
          <w:p w14:paraId="2F946C99" w14:textId="33A29A50" w:rsidR="00EC2495" w:rsidRPr="00577DAA" w:rsidRDefault="00EC2495" w:rsidP="00EC2495">
            <w:pPr>
              <w:jc w:val="center"/>
              <w:rPr>
                <w:rFonts w:cs="Calibri"/>
                <w:color w:val="172B4D"/>
              </w:rPr>
            </w:pPr>
            <w:r w:rsidRPr="00577DAA">
              <w:rPr>
                <w:rFonts w:cs="Calibri"/>
                <w:color w:val="172B4D"/>
              </w:rPr>
              <w:t>30</w:t>
            </w:r>
            <w:r w:rsidR="00641F94">
              <w:rPr>
                <w:rFonts w:cs="Calibri"/>
                <w:color w:val="172B4D"/>
              </w:rPr>
              <w:t>.</w:t>
            </w:r>
            <w:r w:rsidRPr="00577DAA">
              <w:rPr>
                <w:rFonts w:cs="Calibri"/>
                <w:color w:val="172B4D"/>
              </w:rPr>
              <w:t>5</w:t>
            </w:r>
          </w:p>
        </w:tc>
      </w:tr>
      <w:tr w:rsidR="00EC2495" w:rsidRPr="00336523" w14:paraId="2290D3EB" w14:textId="77777777" w:rsidTr="00EC2495">
        <w:trPr>
          <w:trHeight w:val="375"/>
        </w:trPr>
        <w:tc>
          <w:tcPr>
            <w:tcW w:w="1337" w:type="pct"/>
            <w:tcBorders>
              <w:top w:val="nil"/>
              <w:left w:val="single" w:sz="4" w:space="0" w:color="auto"/>
              <w:bottom w:val="single" w:sz="4" w:space="0" w:color="auto"/>
              <w:right w:val="single" w:sz="4" w:space="0" w:color="auto"/>
            </w:tcBorders>
            <w:shd w:val="clear" w:color="000000" w:fill="FFFFFF"/>
            <w:vAlign w:val="center"/>
            <w:hideMark/>
          </w:tcPr>
          <w:p w14:paraId="4892276D" w14:textId="6BACD965" w:rsidR="00EC2495" w:rsidRPr="00577DAA" w:rsidRDefault="00EC2495" w:rsidP="00EC2495">
            <w:pPr>
              <w:spacing w:after="0" w:line="240" w:lineRule="auto"/>
              <w:rPr>
                <w:rFonts w:eastAsia="Times New Roman" w:cs="Calibri"/>
                <w:color w:val="172B4D"/>
                <w:lang w:eastAsia="it-IT"/>
              </w:rPr>
            </w:pPr>
          </w:p>
        </w:tc>
        <w:tc>
          <w:tcPr>
            <w:tcW w:w="610" w:type="pct"/>
            <w:tcBorders>
              <w:top w:val="nil"/>
              <w:left w:val="nil"/>
              <w:bottom w:val="single" w:sz="4" w:space="0" w:color="auto"/>
              <w:right w:val="single" w:sz="4" w:space="0" w:color="auto"/>
            </w:tcBorders>
            <w:shd w:val="clear" w:color="000000" w:fill="FFFFFF"/>
            <w:noWrap/>
            <w:vAlign w:val="center"/>
            <w:hideMark/>
          </w:tcPr>
          <w:p w14:paraId="29FF55F1" w14:textId="1C313BCE" w:rsidR="00EC2495" w:rsidRPr="00577DAA" w:rsidRDefault="00EC2495" w:rsidP="00EC2495">
            <w:pPr>
              <w:jc w:val="center"/>
              <w:rPr>
                <w:rFonts w:cs="Calibri"/>
                <w:color w:val="172B4D"/>
              </w:rPr>
            </w:pPr>
            <w:r w:rsidRPr="00577DAA">
              <w:rPr>
                <w:rFonts w:cs="Calibri"/>
                <w:color w:val="172B4D"/>
              </w:rPr>
              <w:t>22</w:t>
            </w:r>
            <w:r w:rsidR="00641F94">
              <w:rPr>
                <w:rFonts w:cs="Calibri"/>
                <w:color w:val="172B4D"/>
              </w:rPr>
              <w:t>.</w:t>
            </w:r>
            <w:r w:rsidRPr="00577DAA">
              <w:rPr>
                <w:rFonts w:cs="Calibri"/>
                <w:color w:val="172B4D"/>
              </w:rPr>
              <w:t>7</w:t>
            </w:r>
          </w:p>
        </w:tc>
        <w:tc>
          <w:tcPr>
            <w:tcW w:w="610" w:type="pct"/>
            <w:tcBorders>
              <w:top w:val="nil"/>
              <w:left w:val="nil"/>
              <w:bottom w:val="single" w:sz="4" w:space="0" w:color="auto"/>
              <w:right w:val="single" w:sz="4" w:space="0" w:color="auto"/>
            </w:tcBorders>
            <w:shd w:val="clear" w:color="000000" w:fill="FFFFFF"/>
            <w:noWrap/>
            <w:vAlign w:val="center"/>
            <w:hideMark/>
          </w:tcPr>
          <w:p w14:paraId="4390D41E" w14:textId="7230F4F9" w:rsidR="00EC2495" w:rsidRPr="00577DAA" w:rsidRDefault="00EC2495" w:rsidP="00EC2495">
            <w:pPr>
              <w:jc w:val="center"/>
              <w:rPr>
                <w:rFonts w:cs="Calibri"/>
                <w:color w:val="172B4D"/>
              </w:rPr>
            </w:pPr>
            <w:r w:rsidRPr="00577DAA">
              <w:rPr>
                <w:rFonts w:cs="Calibri"/>
                <w:color w:val="172B4D"/>
              </w:rPr>
              <w:t>22</w:t>
            </w:r>
            <w:r w:rsidR="00641F94">
              <w:rPr>
                <w:rFonts w:cs="Calibri"/>
                <w:color w:val="172B4D"/>
              </w:rPr>
              <w:t>.</w:t>
            </w:r>
            <w:r w:rsidRPr="00577DAA">
              <w:rPr>
                <w:rFonts w:cs="Calibri"/>
                <w:color w:val="172B4D"/>
              </w:rPr>
              <w:t>5</w:t>
            </w:r>
          </w:p>
        </w:tc>
        <w:tc>
          <w:tcPr>
            <w:tcW w:w="610" w:type="pct"/>
            <w:tcBorders>
              <w:top w:val="nil"/>
              <w:left w:val="nil"/>
              <w:bottom w:val="single" w:sz="4" w:space="0" w:color="auto"/>
              <w:right w:val="single" w:sz="4" w:space="0" w:color="auto"/>
            </w:tcBorders>
            <w:shd w:val="clear" w:color="000000" w:fill="FFFFFF"/>
            <w:noWrap/>
            <w:vAlign w:val="center"/>
            <w:hideMark/>
          </w:tcPr>
          <w:p w14:paraId="26266D60" w14:textId="4965B13B" w:rsidR="00EC2495" w:rsidRPr="00577DAA" w:rsidRDefault="00EC2495" w:rsidP="00EC2495">
            <w:pPr>
              <w:jc w:val="center"/>
              <w:rPr>
                <w:rFonts w:cs="Calibri"/>
                <w:color w:val="172B4D"/>
              </w:rPr>
            </w:pPr>
            <w:r w:rsidRPr="00577DAA">
              <w:rPr>
                <w:rFonts w:cs="Calibri"/>
                <w:color w:val="172B4D"/>
              </w:rPr>
              <w:t>22</w:t>
            </w:r>
            <w:r w:rsidR="00641F94">
              <w:rPr>
                <w:rFonts w:cs="Calibri"/>
                <w:color w:val="172B4D"/>
              </w:rPr>
              <w:t>.</w:t>
            </w:r>
            <w:r w:rsidRPr="00577DAA">
              <w:rPr>
                <w:rFonts w:cs="Calibri"/>
                <w:color w:val="172B4D"/>
              </w:rPr>
              <w:t>7</w:t>
            </w:r>
          </w:p>
        </w:tc>
        <w:tc>
          <w:tcPr>
            <w:tcW w:w="610" w:type="pct"/>
            <w:tcBorders>
              <w:top w:val="nil"/>
              <w:left w:val="nil"/>
              <w:bottom w:val="single" w:sz="4" w:space="0" w:color="auto"/>
              <w:right w:val="single" w:sz="4" w:space="0" w:color="auto"/>
            </w:tcBorders>
            <w:shd w:val="clear" w:color="000000" w:fill="FFFFFF"/>
            <w:noWrap/>
            <w:vAlign w:val="center"/>
            <w:hideMark/>
          </w:tcPr>
          <w:p w14:paraId="2B3EB3A0" w14:textId="707855EE" w:rsidR="00EC2495" w:rsidRPr="00577DAA" w:rsidRDefault="00EC2495" w:rsidP="00EC2495">
            <w:pPr>
              <w:jc w:val="center"/>
              <w:rPr>
                <w:rFonts w:cs="Calibri"/>
                <w:color w:val="172B4D"/>
              </w:rPr>
            </w:pPr>
            <w:r w:rsidRPr="00577DAA">
              <w:rPr>
                <w:rFonts w:cs="Calibri"/>
                <w:color w:val="172B4D"/>
              </w:rPr>
              <w:t>22</w:t>
            </w:r>
            <w:r w:rsidR="00641F94">
              <w:rPr>
                <w:rFonts w:cs="Calibri"/>
                <w:color w:val="172B4D"/>
              </w:rPr>
              <w:t>.</w:t>
            </w:r>
            <w:r w:rsidRPr="00577DAA">
              <w:rPr>
                <w:rFonts w:cs="Calibri"/>
                <w:color w:val="172B4D"/>
              </w:rPr>
              <w:t>6</w:t>
            </w:r>
          </w:p>
        </w:tc>
        <w:tc>
          <w:tcPr>
            <w:tcW w:w="610" w:type="pct"/>
            <w:tcBorders>
              <w:top w:val="nil"/>
              <w:left w:val="nil"/>
              <w:bottom w:val="single" w:sz="4" w:space="0" w:color="auto"/>
              <w:right w:val="single" w:sz="4" w:space="0" w:color="auto"/>
            </w:tcBorders>
            <w:shd w:val="clear" w:color="000000" w:fill="FFFFFF"/>
            <w:noWrap/>
            <w:vAlign w:val="center"/>
            <w:hideMark/>
          </w:tcPr>
          <w:p w14:paraId="1F7DB9FF" w14:textId="45DE63FC" w:rsidR="00EC2495" w:rsidRPr="00577DAA" w:rsidRDefault="00EC2495" w:rsidP="00EC2495">
            <w:pPr>
              <w:jc w:val="center"/>
              <w:rPr>
                <w:rFonts w:cs="Calibri"/>
                <w:color w:val="172B4D"/>
              </w:rPr>
            </w:pPr>
            <w:r w:rsidRPr="00577DAA">
              <w:rPr>
                <w:rFonts w:cs="Calibri"/>
                <w:color w:val="172B4D"/>
              </w:rPr>
              <w:t>22</w:t>
            </w:r>
            <w:r w:rsidR="00641F94">
              <w:rPr>
                <w:rFonts w:cs="Calibri"/>
                <w:color w:val="172B4D"/>
              </w:rPr>
              <w:t>.</w:t>
            </w:r>
            <w:r w:rsidRPr="00577DAA">
              <w:rPr>
                <w:rFonts w:cs="Calibri"/>
                <w:color w:val="172B4D"/>
              </w:rPr>
              <w:t>5</w:t>
            </w:r>
          </w:p>
        </w:tc>
        <w:tc>
          <w:tcPr>
            <w:tcW w:w="610" w:type="pct"/>
            <w:tcBorders>
              <w:top w:val="nil"/>
              <w:left w:val="nil"/>
              <w:bottom w:val="single" w:sz="4" w:space="0" w:color="auto"/>
              <w:right w:val="single" w:sz="4" w:space="0" w:color="auto"/>
            </w:tcBorders>
            <w:shd w:val="clear" w:color="000000" w:fill="FFFFFF"/>
            <w:noWrap/>
            <w:vAlign w:val="center"/>
            <w:hideMark/>
          </w:tcPr>
          <w:p w14:paraId="3555404F" w14:textId="66C4940A" w:rsidR="00EC2495" w:rsidRPr="00577DAA" w:rsidRDefault="00EC2495" w:rsidP="00EC2495">
            <w:pPr>
              <w:jc w:val="center"/>
              <w:rPr>
                <w:rFonts w:cs="Calibri"/>
                <w:color w:val="172B4D"/>
              </w:rPr>
            </w:pPr>
            <w:r w:rsidRPr="00577DAA">
              <w:rPr>
                <w:rFonts w:cs="Calibri"/>
                <w:color w:val="172B4D"/>
              </w:rPr>
              <w:t>22</w:t>
            </w:r>
            <w:r w:rsidR="00641F94">
              <w:rPr>
                <w:rFonts w:cs="Calibri"/>
                <w:color w:val="172B4D"/>
              </w:rPr>
              <w:t>.</w:t>
            </w:r>
            <w:r w:rsidRPr="00577DAA">
              <w:rPr>
                <w:rFonts w:cs="Calibri"/>
                <w:color w:val="172B4D"/>
              </w:rPr>
              <w:t>6</w:t>
            </w:r>
          </w:p>
        </w:tc>
      </w:tr>
      <w:tr w:rsidR="00EC2495" w:rsidRPr="00336523" w14:paraId="71819471" w14:textId="77777777" w:rsidTr="00EC2495">
        <w:trPr>
          <w:trHeight w:val="375"/>
        </w:trPr>
        <w:tc>
          <w:tcPr>
            <w:tcW w:w="1337" w:type="pct"/>
            <w:tcBorders>
              <w:top w:val="nil"/>
              <w:left w:val="single" w:sz="4" w:space="0" w:color="auto"/>
              <w:bottom w:val="single" w:sz="4" w:space="0" w:color="auto"/>
              <w:right w:val="single" w:sz="4" w:space="0" w:color="auto"/>
            </w:tcBorders>
            <w:shd w:val="clear" w:color="000000" w:fill="FFFFFF"/>
            <w:vAlign w:val="center"/>
            <w:hideMark/>
          </w:tcPr>
          <w:p w14:paraId="291EA135"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Centre</w:t>
            </w:r>
          </w:p>
        </w:tc>
        <w:tc>
          <w:tcPr>
            <w:tcW w:w="610" w:type="pct"/>
            <w:tcBorders>
              <w:top w:val="nil"/>
              <w:left w:val="nil"/>
              <w:bottom w:val="single" w:sz="4" w:space="0" w:color="auto"/>
              <w:right w:val="single" w:sz="4" w:space="0" w:color="auto"/>
            </w:tcBorders>
            <w:shd w:val="clear" w:color="000000" w:fill="FFFFFF"/>
            <w:noWrap/>
            <w:vAlign w:val="center"/>
            <w:hideMark/>
          </w:tcPr>
          <w:p w14:paraId="171B48FF" w14:textId="53BEFC39" w:rsidR="00EC2495" w:rsidRPr="00577DAA" w:rsidRDefault="00EC2495" w:rsidP="00EC2495">
            <w:pPr>
              <w:jc w:val="center"/>
              <w:rPr>
                <w:rFonts w:cs="Calibri"/>
                <w:color w:val="172B4D"/>
              </w:rPr>
            </w:pPr>
            <w:r w:rsidRPr="00577DAA">
              <w:rPr>
                <w:rFonts w:cs="Calibri"/>
                <w:color w:val="172B4D"/>
              </w:rPr>
              <w:t>21</w:t>
            </w:r>
            <w:r w:rsidR="00641F94">
              <w:rPr>
                <w:rFonts w:cs="Calibri"/>
                <w:color w:val="172B4D"/>
              </w:rPr>
              <w:t>.</w:t>
            </w:r>
            <w:r w:rsidRPr="00577DAA">
              <w:rPr>
                <w:rFonts w:cs="Calibri"/>
                <w:color w:val="172B4D"/>
              </w:rPr>
              <w:t>3</w:t>
            </w:r>
          </w:p>
        </w:tc>
        <w:tc>
          <w:tcPr>
            <w:tcW w:w="610" w:type="pct"/>
            <w:tcBorders>
              <w:top w:val="nil"/>
              <w:left w:val="nil"/>
              <w:bottom w:val="single" w:sz="4" w:space="0" w:color="auto"/>
              <w:right w:val="single" w:sz="4" w:space="0" w:color="auto"/>
            </w:tcBorders>
            <w:shd w:val="clear" w:color="000000" w:fill="FFFFFF"/>
            <w:noWrap/>
            <w:vAlign w:val="center"/>
            <w:hideMark/>
          </w:tcPr>
          <w:p w14:paraId="0CCC10D8" w14:textId="66935BF0" w:rsidR="00EC2495" w:rsidRPr="00577DAA" w:rsidRDefault="00EC2495" w:rsidP="00EC2495">
            <w:pPr>
              <w:jc w:val="center"/>
              <w:rPr>
                <w:rFonts w:cs="Calibri"/>
                <w:color w:val="172B4D"/>
              </w:rPr>
            </w:pPr>
            <w:r w:rsidRPr="00577DAA">
              <w:rPr>
                <w:rFonts w:cs="Calibri"/>
                <w:color w:val="172B4D"/>
              </w:rPr>
              <w:t>21</w:t>
            </w:r>
            <w:r w:rsidR="00641F94">
              <w:rPr>
                <w:rFonts w:cs="Calibri"/>
                <w:color w:val="172B4D"/>
              </w:rPr>
              <w:t>.</w:t>
            </w:r>
            <w:r w:rsidRPr="00577DAA">
              <w:rPr>
                <w:rFonts w:cs="Calibri"/>
                <w:color w:val="172B4D"/>
              </w:rPr>
              <w:t>4</w:t>
            </w:r>
          </w:p>
        </w:tc>
        <w:tc>
          <w:tcPr>
            <w:tcW w:w="610" w:type="pct"/>
            <w:tcBorders>
              <w:top w:val="nil"/>
              <w:left w:val="nil"/>
              <w:bottom w:val="single" w:sz="4" w:space="0" w:color="auto"/>
              <w:right w:val="single" w:sz="4" w:space="0" w:color="auto"/>
            </w:tcBorders>
            <w:shd w:val="clear" w:color="000000" w:fill="FFFFFF"/>
            <w:noWrap/>
            <w:vAlign w:val="center"/>
            <w:hideMark/>
          </w:tcPr>
          <w:p w14:paraId="0BAED669" w14:textId="78F8416E" w:rsidR="00EC2495" w:rsidRPr="00577DAA" w:rsidRDefault="00EC2495" w:rsidP="00EC2495">
            <w:pPr>
              <w:jc w:val="center"/>
              <w:rPr>
                <w:rFonts w:cs="Calibri"/>
                <w:color w:val="172B4D"/>
              </w:rPr>
            </w:pPr>
            <w:r w:rsidRPr="00577DAA">
              <w:rPr>
                <w:rFonts w:cs="Calibri"/>
                <w:color w:val="172B4D"/>
              </w:rPr>
              <w:t>21</w:t>
            </w:r>
            <w:r w:rsidR="00641F94">
              <w:rPr>
                <w:rFonts w:cs="Calibri"/>
                <w:color w:val="172B4D"/>
              </w:rPr>
              <w:t>.</w:t>
            </w:r>
            <w:r w:rsidRPr="00577DAA">
              <w:rPr>
                <w:rFonts w:cs="Calibri"/>
                <w:color w:val="172B4D"/>
              </w:rPr>
              <w:t>4</w:t>
            </w:r>
          </w:p>
        </w:tc>
        <w:tc>
          <w:tcPr>
            <w:tcW w:w="610" w:type="pct"/>
            <w:tcBorders>
              <w:top w:val="nil"/>
              <w:left w:val="nil"/>
              <w:bottom w:val="single" w:sz="4" w:space="0" w:color="auto"/>
              <w:right w:val="single" w:sz="4" w:space="0" w:color="auto"/>
            </w:tcBorders>
            <w:shd w:val="clear" w:color="000000" w:fill="FFFFFF"/>
            <w:noWrap/>
            <w:vAlign w:val="center"/>
            <w:hideMark/>
          </w:tcPr>
          <w:p w14:paraId="4D642680" w14:textId="1439531D" w:rsidR="00EC2495" w:rsidRPr="00577DAA" w:rsidRDefault="00EC2495" w:rsidP="00EC2495">
            <w:pPr>
              <w:jc w:val="center"/>
              <w:rPr>
                <w:rFonts w:cs="Calibri"/>
                <w:color w:val="172B4D"/>
              </w:rPr>
            </w:pPr>
            <w:r w:rsidRPr="00577DAA">
              <w:rPr>
                <w:rFonts w:cs="Calibri"/>
                <w:color w:val="172B4D"/>
              </w:rPr>
              <w:t>21</w:t>
            </w:r>
            <w:r w:rsidR="00641F94">
              <w:rPr>
                <w:rFonts w:cs="Calibri"/>
                <w:color w:val="172B4D"/>
              </w:rPr>
              <w:t>.</w:t>
            </w:r>
            <w:r w:rsidRPr="00577DAA">
              <w:rPr>
                <w:rFonts w:cs="Calibri"/>
                <w:color w:val="172B4D"/>
              </w:rPr>
              <w:t>2</w:t>
            </w:r>
          </w:p>
        </w:tc>
        <w:tc>
          <w:tcPr>
            <w:tcW w:w="610" w:type="pct"/>
            <w:tcBorders>
              <w:top w:val="nil"/>
              <w:left w:val="nil"/>
              <w:bottom w:val="single" w:sz="4" w:space="0" w:color="auto"/>
              <w:right w:val="single" w:sz="4" w:space="0" w:color="auto"/>
            </w:tcBorders>
            <w:shd w:val="clear" w:color="000000" w:fill="FFFFFF"/>
            <w:noWrap/>
            <w:vAlign w:val="center"/>
            <w:hideMark/>
          </w:tcPr>
          <w:p w14:paraId="1625EAB9" w14:textId="1C29BF68" w:rsidR="00EC2495" w:rsidRPr="00577DAA" w:rsidRDefault="00EC2495" w:rsidP="00EC2495">
            <w:pPr>
              <w:jc w:val="center"/>
              <w:rPr>
                <w:rFonts w:cs="Calibri"/>
                <w:color w:val="172B4D"/>
              </w:rPr>
            </w:pPr>
            <w:r w:rsidRPr="00577DAA">
              <w:rPr>
                <w:rFonts w:cs="Calibri"/>
                <w:color w:val="172B4D"/>
              </w:rPr>
              <w:t>21</w:t>
            </w:r>
            <w:r w:rsidR="00641F94">
              <w:rPr>
                <w:rFonts w:cs="Calibri"/>
                <w:color w:val="172B4D"/>
              </w:rPr>
              <w:t>.</w:t>
            </w:r>
            <w:r w:rsidRPr="00577DAA">
              <w:rPr>
                <w:rFonts w:cs="Calibri"/>
                <w:color w:val="172B4D"/>
              </w:rPr>
              <w:t>4</w:t>
            </w:r>
          </w:p>
        </w:tc>
        <w:tc>
          <w:tcPr>
            <w:tcW w:w="610" w:type="pct"/>
            <w:tcBorders>
              <w:top w:val="nil"/>
              <w:left w:val="nil"/>
              <w:bottom w:val="single" w:sz="4" w:space="0" w:color="auto"/>
              <w:right w:val="single" w:sz="4" w:space="0" w:color="auto"/>
            </w:tcBorders>
            <w:shd w:val="clear" w:color="000000" w:fill="FFFFFF"/>
            <w:noWrap/>
            <w:vAlign w:val="center"/>
            <w:hideMark/>
          </w:tcPr>
          <w:p w14:paraId="47AA761A" w14:textId="17D1E815" w:rsidR="00EC2495" w:rsidRPr="00577DAA" w:rsidRDefault="00EC2495" w:rsidP="00EC2495">
            <w:pPr>
              <w:jc w:val="center"/>
              <w:rPr>
                <w:rFonts w:cs="Calibri"/>
                <w:color w:val="172B4D"/>
              </w:rPr>
            </w:pPr>
            <w:r w:rsidRPr="00577DAA">
              <w:rPr>
                <w:rFonts w:cs="Calibri"/>
                <w:color w:val="172B4D"/>
              </w:rPr>
              <w:t>21</w:t>
            </w:r>
            <w:r w:rsidR="00641F94">
              <w:rPr>
                <w:rFonts w:cs="Calibri"/>
                <w:color w:val="172B4D"/>
              </w:rPr>
              <w:t>.</w:t>
            </w:r>
            <w:r w:rsidRPr="00577DAA">
              <w:rPr>
                <w:rFonts w:cs="Calibri"/>
                <w:color w:val="172B4D"/>
              </w:rPr>
              <w:t>0</w:t>
            </w:r>
          </w:p>
        </w:tc>
      </w:tr>
      <w:tr w:rsidR="00EC2495" w:rsidRPr="00336523" w14:paraId="77D35B30" w14:textId="77777777" w:rsidTr="00EC2495">
        <w:trPr>
          <w:trHeight w:val="375"/>
        </w:trPr>
        <w:tc>
          <w:tcPr>
            <w:tcW w:w="1337" w:type="pct"/>
            <w:tcBorders>
              <w:top w:val="nil"/>
              <w:left w:val="single" w:sz="4" w:space="0" w:color="auto"/>
              <w:bottom w:val="single" w:sz="4" w:space="0" w:color="auto"/>
              <w:right w:val="single" w:sz="4" w:space="0" w:color="auto"/>
            </w:tcBorders>
            <w:shd w:val="clear" w:color="000000" w:fill="FFFFFF"/>
            <w:vAlign w:val="center"/>
            <w:hideMark/>
          </w:tcPr>
          <w:p w14:paraId="13289A74"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South</w:t>
            </w:r>
          </w:p>
        </w:tc>
        <w:tc>
          <w:tcPr>
            <w:tcW w:w="610" w:type="pct"/>
            <w:tcBorders>
              <w:top w:val="nil"/>
              <w:left w:val="nil"/>
              <w:bottom w:val="single" w:sz="4" w:space="0" w:color="auto"/>
              <w:right w:val="single" w:sz="4" w:space="0" w:color="auto"/>
            </w:tcBorders>
            <w:shd w:val="clear" w:color="000000" w:fill="FFFFFF"/>
            <w:noWrap/>
            <w:vAlign w:val="center"/>
            <w:hideMark/>
          </w:tcPr>
          <w:p w14:paraId="17BA2118" w14:textId="0E5957E6" w:rsidR="00EC2495" w:rsidRPr="00577DAA" w:rsidRDefault="00EC2495" w:rsidP="00EC2495">
            <w:pPr>
              <w:jc w:val="center"/>
              <w:rPr>
                <w:rFonts w:cs="Calibri"/>
                <w:color w:val="172B4D"/>
              </w:rPr>
            </w:pPr>
            <w:r w:rsidRPr="00577DAA">
              <w:rPr>
                <w:rFonts w:cs="Calibri"/>
                <w:color w:val="172B4D"/>
              </w:rPr>
              <w:t>17</w:t>
            </w:r>
            <w:r w:rsidR="00641F94">
              <w:rPr>
                <w:rFonts w:cs="Calibri"/>
                <w:color w:val="172B4D"/>
              </w:rPr>
              <w:t>.</w:t>
            </w:r>
            <w:r w:rsidRPr="00577DAA">
              <w:rPr>
                <w:rFonts w:cs="Calibri"/>
                <w:color w:val="172B4D"/>
              </w:rPr>
              <w:t>6</w:t>
            </w:r>
          </w:p>
        </w:tc>
        <w:tc>
          <w:tcPr>
            <w:tcW w:w="610" w:type="pct"/>
            <w:tcBorders>
              <w:top w:val="nil"/>
              <w:left w:val="nil"/>
              <w:bottom w:val="single" w:sz="4" w:space="0" w:color="auto"/>
              <w:right w:val="single" w:sz="4" w:space="0" w:color="auto"/>
            </w:tcBorders>
            <w:shd w:val="clear" w:color="000000" w:fill="FFFFFF"/>
            <w:noWrap/>
            <w:vAlign w:val="center"/>
            <w:hideMark/>
          </w:tcPr>
          <w:p w14:paraId="5A945E19" w14:textId="1D073D2F" w:rsidR="00EC2495" w:rsidRPr="00577DAA" w:rsidRDefault="00EC2495" w:rsidP="00EC2495">
            <w:pPr>
              <w:jc w:val="center"/>
              <w:rPr>
                <w:rFonts w:cs="Calibri"/>
                <w:color w:val="172B4D"/>
              </w:rPr>
            </w:pPr>
            <w:r w:rsidRPr="00577DAA">
              <w:rPr>
                <w:rFonts w:cs="Calibri"/>
                <w:color w:val="172B4D"/>
              </w:rPr>
              <w:t>17</w:t>
            </w:r>
            <w:r w:rsidR="00641F94">
              <w:rPr>
                <w:rFonts w:cs="Calibri"/>
                <w:color w:val="172B4D"/>
              </w:rPr>
              <w:t>.</w:t>
            </w:r>
            <w:r w:rsidRPr="00577DAA">
              <w:rPr>
                <w:rFonts w:cs="Calibri"/>
                <w:color w:val="172B4D"/>
              </w:rPr>
              <w:t>5</w:t>
            </w:r>
          </w:p>
        </w:tc>
        <w:tc>
          <w:tcPr>
            <w:tcW w:w="610" w:type="pct"/>
            <w:tcBorders>
              <w:top w:val="nil"/>
              <w:left w:val="nil"/>
              <w:bottom w:val="single" w:sz="4" w:space="0" w:color="auto"/>
              <w:right w:val="single" w:sz="4" w:space="0" w:color="auto"/>
            </w:tcBorders>
            <w:shd w:val="clear" w:color="000000" w:fill="FFFFFF"/>
            <w:noWrap/>
            <w:vAlign w:val="center"/>
            <w:hideMark/>
          </w:tcPr>
          <w:p w14:paraId="08EAD0C2" w14:textId="09CEA922" w:rsidR="00EC2495" w:rsidRPr="00577DAA" w:rsidRDefault="00EC2495" w:rsidP="00EC2495">
            <w:pPr>
              <w:jc w:val="center"/>
              <w:rPr>
                <w:rFonts w:cs="Calibri"/>
                <w:color w:val="172B4D"/>
              </w:rPr>
            </w:pPr>
            <w:r w:rsidRPr="00577DAA">
              <w:rPr>
                <w:rFonts w:cs="Calibri"/>
                <w:color w:val="172B4D"/>
              </w:rPr>
              <w:t>17</w:t>
            </w:r>
            <w:r w:rsidR="00641F94">
              <w:rPr>
                <w:rFonts w:cs="Calibri"/>
                <w:color w:val="172B4D"/>
              </w:rPr>
              <w:t>.</w:t>
            </w:r>
            <w:r w:rsidRPr="00577DAA">
              <w:rPr>
                <w:rFonts w:cs="Calibri"/>
                <w:color w:val="172B4D"/>
              </w:rPr>
              <w:t>2</w:t>
            </w:r>
          </w:p>
        </w:tc>
        <w:tc>
          <w:tcPr>
            <w:tcW w:w="610" w:type="pct"/>
            <w:tcBorders>
              <w:top w:val="nil"/>
              <w:left w:val="nil"/>
              <w:bottom w:val="single" w:sz="4" w:space="0" w:color="auto"/>
              <w:right w:val="single" w:sz="4" w:space="0" w:color="auto"/>
            </w:tcBorders>
            <w:shd w:val="clear" w:color="000000" w:fill="FFFFFF"/>
            <w:noWrap/>
            <w:vAlign w:val="center"/>
            <w:hideMark/>
          </w:tcPr>
          <w:p w14:paraId="335756A1" w14:textId="72B8BC14" w:rsidR="00EC2495" w:rsidRPr="00577DAA" w:rsidRDefault="00EC2495" w:rsidP="00EC2495">
            <w:pPr>
              <w:jc w:val="center"/>
              <w:rPr>
                <w:rFonts w:cs="Calibri"/>
                <w:color w:val="172B4D"/>
              </w:rPr>
            </w:pPr>
            <w:r w:rsidRPr="00577DAA">
              <w:rPr>
                <w:rFonts w:cs="Calibri"/>
                <w:color w:val="172B4D"/>
              </w:rPr>
              <w:t>17</w:t>
            </w:r>
            <w:r w:rsidR="00641F94">
              <w:rPr>
                <w:rFonts w:cs="Calibri"/>
                <w:color w:val="172B4D"/>
              </w:rPr>
              <w:t>.</w:t>
            </w:r>
            <w:r w:rsidRPr="00577DAA">
              <w:rPr>
                <w:rFonts w:cs="Calibri"/>
                <w:color w:val="172B4D"/>
              </w:rPr>
              <w:t>8</w:t>
            </w:r>
          </w:p>
        </w:tc>
        <w:tc>
          <w:tcPr>
            <w:tcW w:w="610" w:type="pct"/>
            <w:tcBorders>
              <w:top w:val="nil"/>
              <w:left w:val="nil"/>
              <w:bottom w:val="single" w:sz="4" w:space="0" w:color="auto"/>
              <w:right w:val="single" w:sz="4" w:space="0" w:color="auto"/>
            </w:tcBorders>
            <w:shd w:val="clear" w:color="000000" w:fill="FFFFFF"/>
            <w:noWrap/>
            <w:vAlign w:val="center"/>
            <w:hideMark/>
          </w:tcPr>
          <w:p w14:paraId="38A32226" w14:textId="0AA88072" w:rsidR="00EC2495" w:rsidRPr="00577DAA" w:rsidRDefault="00EC2495" w:rsidP="00EC2495">
            <w:pPr>
              <w:jc w:val="center"/>
              <w:rPr>
                <w:rFonts w:cs="Calibri"/>
                <w:color w:val="172B4D"/>
              </w:rPr>
            </w:pPr>
            <w:r w:rsidRPr="00577DAA">
              <w:rPr>
                <w:rFonts w:cs="Calibri"/>
                <w:color w:val="172B4D"/>
              </w:rPr>
              <w:t>17</w:t>
            </w:r>
            <w:r w:rsidR="00641F94">
              <w:rPr>
                <w:rFonts w:cs="Calibri"/>
                <w:color w:val="172B4D"/>
              </w:rPr>
              <w:t>.</w:t>
            </w:r>
            <w:r w:rsidRPr="00577DAA">
              <w:rPr>
                <w:rFonts w:cs="Calibri"/>
                <w:color w:val="172B4D"/>
              </w:rPr>
              <w:t>8</w:t>
            </w:r>
          </w:p>
        </w:tc>
        <w:tc>
          <w:tcPr>
            <w:tcW w:w="610" w:type="pct"/>
            <w:tcBorders>
              <w:top w:val="nil"/>
              <w:left w:val="nil"/>
              <w:bottom w:val="single" w:sz="4" w:space="0" w:color="auto"/>
              <w:right w:val="single" w:sz="4" w:space="0" w:color="auto"/>
            </w:tcBorders>
            <w:shd w:val="clear" w:color="000000" w:fill="FFFFFF"/>
            <w:noWrap/>
            <w:vAlign w:val="center"/>
            <w:hideMark/>
          </w:tcPr>
          <w:p w14:paraId="6561E677" w14:textId="2723B17E" w:rsidR="00EC2495" w:rsidRPr="00577DAA" w:rsidRDefault="00EC2495" w:rsidP="00EC2495">
            <w:pPr>
              <w:jc w:val="center"/>
              <w:rPr>
                <w:rFonts w:cs="Calibri"/>
                <w:color w:val="172B4D"/>
              </w:rPr>
            </w:pPr>
            <w:r w:rsidRPr="00577DAA">
              <w:rPr>
                <w:rFonts w:cs="Calibri"/>
                <w:color w:val="172B4D"/>
              </w:rPr>
              <w:t>17</w:t>
            </w:r>
            <w:r w:rsidR="00641F94">
              <w:rPr>
                <w:rFonts w:cs="Calibri"/>
                <w:color w:val="172B4D"/>
              </w:rPr>
              <w:t>.</w:t>
            </w:r>
            <w:r w:rsidRPr="00577DAA">
              <w:rPr>
                <w:rFonts w:cs="Calibri"/>
                <w:color w:val="172B4D"/>
              </w:rPr>
              <w:t>5</w:t>
            </w:r>
          </w:p>
        </w:tc>
      </w:tr>
      <w:tr w:rsidR="00EC2495" w:rsidRPr="00336523" w14:paraId="2A115520" w14:textId="77777777" w:rsidTr="00EC2495">
        <w:trPr>
          <w:trHeight w:val="375"/>
        </w:trPr>
        <w:tc>
          <w:tcPr>
            <w:tcW w:w="1337" w:type="pct"/>
            <w:tcBorders>
              <w:top w:val="nil"/>
              <w:left w:val="single" w:sz="4" w:space="0" w:color="auto"/>
              <w:bottom w:val="single" w:sz="4" w:space="0" w:color="auto"/>
              <w:right w:val="single" w:sz="4" w:space="0" w:color="auto"/>
            </w:tcBorders>
            <w:shd w:val="clear" w:color="000000" w:fill="FFFFFF"/>
            <w:vAlign w:val="center"/>
            <w:hideMark/>
          </w:tcPr>
          <w:p w14:paraId="025E393A"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Islands</w:t>
            </w:r>
          </w:p>
        </w:tc>
        <w:tc>
          <w:tcPr>
            <w:tcW w:w="610" w:type="pct"/>
            <w:tcBorders>
              <w:top w:val="nil"/>
              <w:left w:val="nil"/>
              <w:bottom w:val="single" w:sz="4" w:space="0" w:color="auto"/>
              <w:right w:val="single" w:sz="4" w:space="0" w:color="auto"/>
            </w:tcBorders>
            <w:shd w:val="clear" w:color="000000" w:fill="FFFFFF"/>
            <w:noWrap/>
            <w:vAlign w:val="center"/>
            <w:hideMark/>
          </w:tcPr>
          <w:p w14:paraId="73C6120D" w14:textId="4A85B5BB" w:rsidR="00EC2495" w:rsidRPr="00577DAA" w:rsidRDefault="00EC2495" w:rsidP="00EC2495">
            <w:pPr>
              <w:jc w:val="center"/>
              <w:rPr>
                <w:rFonts w:cs="Calibri"/>
                <w:color w:val="172B4D"/>
              </w:rPr>
            </w:pPr>
            <w:r w:rsidRPr="00577DAA">
              <w:rPr>
                <w:rFonts w:cs="Calibri"/>
                <w:color w:val="172B4D"/>
              </w:rPr>
              <w:t>8</w:t>
            </w:r>
            <w:r w:rsidR="00641F94">
              <w:rPr>
                <w:rFonts w:cs="Calibri"/>
                <w:color w:val="172B4D"/>
              </w:rPr>
              <w:t>.</w:t>
            </w:r>
            <w:r w:rsidRPr="00577DAA">
              <w:rPr>
                <w:rFonts w:cs="Calibri"/>
                <w:color w:val="172B4D"/>
              </w:rPr>
              <w:t>4</w:t>
            </w:r>
          </w:p>
        </w:tc>
        <w:tc>
          <w:tcPr>
            <w:tcW w:w="610" w:type="pct"/>
            <w:tcBorders>
              <w:top w:val="nil"/>
              <w:left w:val="nil"/>
              <w:bottom w:val="single" w:sz="4" w:space="0" w:color="auto"/>
              <w:right w:val="single" w:sz="4" w:space="0" w:color="auto"/>
            </w:tcBorders>
            <w:shd w:val="clear" w:color="000000" w:fill="FFFFFF"/>
            <w:noWrap/>
            <w:vAlign w:val="center"/>
            <w:hideMark/>
          </w:tcPr>
          <w:p w14:paraId="10AF6E78" w14:textId="4EE79B88" w:rsidR="00EC2495" w:rsidRPr="00577DAA" w:rsidRDefault="00EC2495" w:rsidP="00EC2495">
            <w:pPr>
              <w:jc w:val="center"/>
              <w:rPr>
                <w:rFonts w:cs="Calibri"/>
                <w:color w:val="172B4D"/>
              </w:rPr>
            </w:pPr>
            <w:r w:rsidRPr="00577DAA">
              <w:rPr>
                <w:rFonts w:cs="Calibri"/>
                <w:color w:val="172B4D"/>
              </w:rPr>
              <w:t>8</w:t>
            </w:r>
            <w:r w:rsidR="00641F94">
              <w:rPr>
                <w:rFonts w:cs="Calibri"/>
                <w:color w:val="172B4D"/>
              </w:rPr>
              <w:t>.</w:t>
            </w:r>
            <w:r w:rsidRPr="00577DAA">
              <w:rPr>
                <w:rFonts w:cs="Calibri"/>
                <w:color w:val="172B4D"/>
              </w:rPr>
              <w:t>2</w:t>
            </w:r>
          </w:p>
        </w:tc>
        <w:tc>
          <w:tcPr>
            <w:tcW w:w="610" w:type="pct"/>
            <w:tcBorders>
              <w:top w:val="nil"/>
              <w:left w:val="nil"/>
              <w:bottom w:val="single" w:sz="4" w:space="0" w:color="auto"/>
              <w:right w:val="single" w:sz="4" w:space="0" w:color="auto"/>
            </w:tcBorders>
            <w:shd w:val="clear" w:color="000000" w:fill="FFFFFF"/>
            <w:noWrap/>
            <w:vAlign w:val="center"/>
            <w:hideMark/>
          </w:tcPr>
          <w:p w14:paraId="352DB1CF" w14:textId="7CBF12B5" w:rsidR="00EC2495" w:rsidRPr="00577DAA" w:rsidRDefault="00EC2495" w:rsidP="00EC2495">
            <w:pPr>
              <w:jc w:val="center"/>
              <w:rPr>
                <w:rFonts w:cs="Calibri"/>
                <w:color w:val="172B4D"/>
              </w:rPr>
            </w:pPr>
            <w:r w:rsidRPr="00577DAA">
              <w:rPr>
                <w:rFonts w:cs="Calibri"/>
                <w:color w:val="172B4D"/>
              </w:rPr>
              <w:t>8</w:t>
            </w:r>
            <w:r w:rsidR="00641F94">
              <w:rPr>
                <w:rFonts w:cs="Calibri"/>
                <w:color w:val="172B4D"/>
              </w:rPr>
              <w:t>.</w:t>
            </w:r>
            <w:r w:rsidRPr="00577DAA">
              <w:rPr>
                <w:rFonts w:cs="Calibri"/>
                <w:color w:val="172B4D"/>
              </w:rPr>
              <w:t>1</w:t>
            </w:r>
          </w:p>
        </w:tc>
        <w:tc>
          <w:tcPr>
            <w:tcW w:w="610" w:type="pct"/>
            <w:tcBorders>
              <w:top w:val="nil"/>
              <w:left w:val="nil"/>
              <w:bottom w:val="single" w:sz="4" w:space="0" w:color="auto"/>
              <w:right w:val="single" w:sz="4" w:space="0" w:color="auto"/>
            </w:tcBorders>
            <w:shd w:val="clear" w:color="000000" w:fill="FFFFFF"/>
            <w:noWrap/>
            <w:vAlign w:val="center"/>
            <w:hideMark/>
          </w:tcPr>
          <w:p w14:paraId="350B1F3A" w14:textId="5E9F62E3" w:rsidR="00EC2495" w:rsidRPr="00577DAA" w:rsidRDefault="00EC2495" w:rsidP="00EC2495">
            <w:pPr>
              <w:jc w:val="center"/>
              <w:rPr>
                <w:rFonts w:cs="Calibri"/>
                <w:color w:val="172B4D"/>
              </w:rPr>
            </w:pPr>
            <w:r w:rsidRPr="00577DAA">
              <w:rPr>
                <w:rFonts w:cs="Calibri"/>
                <w:color w:val="172B4D"/>
              </w:rPr>
              <w:t>8</w:t>
            </w:r>
            <w:r w:rsidR="00641F94">
              <w:rPr>
                <w:rFonts w:cs="Calibri"/>
                <w:color w:val="172B4D"/>
              </w:rPr>
              <w:t>.</w:t>
            </w:r>
            <w:r w:rsidRPr="00577DAA">
              <w:rPr>
                <w:rFonts w:cs="Calibri"/>
                <w:color w:val="172B4D"/>
              </w:rPr>
              <w:t>4</w:t>
            </w:r>
          </w:p>
        </w:tc>
        <w:tc>
          <w:tcPr>
            <w:tcW w:w="610" w:type="pct"/>
            <w:tcBorders>
              <w:top w:val="nil"/>
              <w:left w:val="nil"/>
              <w:bottom w:val="single" w:sz="4" w:space="0" w:color="auto"/>
              <w:right w:val="single" w:sz="4" w:space="0" w:color="auto"/>
            </w:tcBorders>
            <w:shd w:val="clear" w:color="000000" w:fill="FFFFFF"/>
            <w:noWrap/>
            <w:vAlign w:val="center"/>
            <w:hideMark/>
          </w:tcPr>
          <w:p w14:paraId="06B9C36C" w14:textId="0568B050" w:rsidR="00EC2495" w:rsidRPr="00577DAA" w:rsidRDefault="00EC2495" w:rsidP="00EC2495">
            <w:pPr>
              <w:jc w:val="center"/>
              <w:rPr>
                <w:rFonts w:cs="Calibri"/>
                <w:color w:val="172B4D"/>
              </w:rPr>
            </w:pPr>
            <w:r w:rsidRPr="00577DAA">
              <w:rPr>
                <w:rFonts w:cs="Calibri"/>
                <w:color w:val="172B4D"/>
              </w:rPr>
              <w:t>8</w:t>
            </w:r>
            <w:r w:rsidR="00641F94">
              <w:rPr>
                <w:rFonts w:cs="Calibri"/>
                <w:color w:val="172B4D"/>
              </w:rPr>
              <w:t>.</w:t>
            </w:r>
            <w:r w:rsidRPr="00577DAA">
              <w:rPr>
                <w:rFonts w:cs="Calibri"/>
                <w:color w:val="172B4D"/>
              </w:rPr>
              <w:t>4</w:t>
            </w:r>
          </w:p>
        </w:tc>
        <w:tc>
          <w:tcPr>
            <w:tcW w:w="610" w:type="pct"/>
            <w:tcBorders>
              <w:top w:val="nil"/>
              <w:left w:val="nil"/>
              <w:bottom w:val="single" w:sz="4" w:space="0" w:color="auto"/>
              <w:right w:val="single" w:sz="4" w:space="0" w:color="auto"/>
            </w:tcBorders>
            <w:shd w:val="clear" w:color="000000" w:fill="FFFFFF"/>
            <w:noWrap/>
            <w:vAlign w:val="center"/>
            <w:hideMark/>
          </w:tcPr>
          <w:p w14:paraId="1F8AC76D" w14:textId="75F70454" w:rsidR="00EC2495" w:rsidRPr="00577DAA" w:rsidRDefault="00EC2495" w:rsidP="00EC2495">
            <w:pPr>
              <w:jc w:val="center"/>
              <w:rPr>
                <w:rFonts w:cs="Calibri"/>
                <w:color w:val="172B4D"/>
              </w:rPr>
            </w:pPr>
            <w:r w:rsidRPr="00577DAA">
              <w:rPr>
                <w:rFonts w:cs="Calibri"/>
                <w:color w:val="172B4D"/>
              </w:rPr>
              <w:t>8</w:t>
            </w:r>
            <w:r w:rsidR="00641F94">
              <w:rPr>
                <w:rFonts w:cs="Calibri"/>
                <w:color w:val="172B4D"/>
              </w:rPr>
              <w:t>.</w:t>
            </w:r>
            <w:r w:rsidRPr="00577DAA">
              <w:rPr>
                <w:rFonts w:cs="Calibri"/>
                <w:color w:val="172B4D"/>
              </w:rPr>
              <w:t>3</w:t>
            </w:r>
          </w:p>
        </w:tc>
      </w:tr>
      <w:tr w:rsidR="00EC2495" w:rsidRPr="00336523" w14:paraId="26F68087" w14:textId="77777777" w:rsidTr="00EC2495">
        <w:trPr>
          <w:trHeight w:val="375"/>
        </w:trPr>
        <w:tc>
          <w:tcPr>
            <w:tcW w:w="1337" w:type="pct"/>
            <w:tcBorders>
              <w:top w:val="nil"/>
              <w:left w:val="single" w:sz="4" w:space="0" w:color="auto"/>
              <w:bottom w:val="single" w:sz="4" w:space="0" w:color="auto"/>
              <w:right w:val="single" w:sz="4" w:space="0" w:color="auto"/>
            </w:tcBorders>
            <w:shd w:val="clear" w:color="000000" w:fill="FFFFFF"/>
            <w:noWrap/>
            <w:vAlign w:val="center"/>
            <w:hideMark/>
          </w:tcPr>
          <w:p w14:paraId="75FB6CC3" w14:textId="77777777" w:rsidR="00EC2495" w:rsidRPr="00577DAA" w:rsidRDefault="00EC2495" w:rsidP="00EC2495">
            <w:pPr>
              <w:spacing w:after="0" w:line="240" w:lineRule="auto"/>
              <w:rPr>
                <w:rFonts w:eastAsia="Times New Roman" w:cs="Calibri"/>
                <w:b/>
                <w:color w:val="172B4D"/>
                <w:lang w:eastAsia="it-IT"/>
              </w:rPr>
            </w:pPr>
            <w:r w:rsidRPr="00577DAA">
              <w:rPr>
                <w:rFonts w:eastAsia="Times New Roman" w:cs="Calibri"/>
                <w:b/>
                <w:color w:val="172B4D"/>
                <w:lang w:eastAsia="it-IT"/>
              </w:rPr>
              <w:t>Total</w:t>
            </w:r>
          </w:p>
        </w:tc>
        <w:tc>
          <w:tcPr>
            <w:tcW w:w="610" w:type="pct"/>
            <w:tcBorders>
              <w:top w:val="nil"/>
              <w:left w:val="nil"/>
              <w:bottom w:val="single" w:sz="4" w:space="0" w:color="auto"/>
              <w:right w:val="single" w:sz="4" w:space="0" w:color="auto"/>
            </w:tcBorders>
            <w:shd w:val="clear" w:color="000000" w:fill="FFFFFF"/>
            <w:noWrap/>
            <w:vAlign w:val="center"/>
            <w:hideMark/>
          </w:tcPr>
          <w:p w14:paraId="49886143" w14:textId="372B3759" w:rsidR="00EC2495" w:rsidRPr="00577DAA" w:rsidRDefault="00EC2495" w:rsidP="00EC2495">
            <w:pPr>
              <w:jc w:val="center"/>
              <w:rPr>
                <w:rFonts w:cs="Calibri"/>
                <w:b/>
                <w:color w:val="172B4D"/>
              </w:rPr>
            </w:pPr>
            <w:r w:rsidRPr="00577DAA">
              <w:rPr>
                <w:rFonts w:cs="Calibri"/>
                <w:b/>
                <w:color w:val="172B4D"/>
              </w:rPr>
              <w:t>100</w:t>
            </w:r>
            <w:r w:rsidR="00641F94">
              <w:rPr>
                <w:rFonts w:cs="Calibri"/>
                <w:b/>
                <w:color w:val="172B4D"/>
              </w:rPr>
              <w:t>.</w:t>
            </w:r>
            <w:r w:rsidRPr="00577DAA">
              <w:rPr>
                <w:rFonts w:cs="Calibri"/>
                <w:b/>
                <w:color w:val="172B4D"/>
              </w:rPr>
              <w:t>0</w:t>
            </w:r>
          </w:p>
        </w:tc>
        <w:tc>
          <w:tcPr>
            <w:tcW w:w="610" w:type="pct"/>
            <w:tcBorders>
              <w:top w:val="nil"/>
              <w:left w:val="nil"/>
              <w:bottom w:val="single" w:sz="4" w:space="0" w:color="auto"/>
              <w:right w:val="single" w:sz="4" w:space="0" w:color="auto"/>
            </w:tcBorders>
            <w:shd w:val="clear" w:color="000000" w:fill="FFFFFF"/>
            <w:noWrap/>
            <w:vAlign w:val="center"/>
            <w:hideMark/>
          </w:tcPr>
          <w:p w14:paraId="10081AE3" w14:textId="19739AD2" w:rsidR="00EC2495" w:rsidRPr="00577DAA" w:rsidRDefault="00EC2495" w:rsidP="00EC2495">
            <w:pPr>
              <w:jc w:val="center"/>
              <w:rPr>
                <w:rFonts w:cs="Calibri"/>
                <w:b/>
                <w:color w:val="172B4D"/>
              </w:rPr>
            </w:pPr>
            <w:r w:rsidRPr="00577DAA">
              <w:rPr>
                <w:rFonts w:cs="Calibri"/>
                <w:b/>
                <w:color w:val="172B4D"/>
              </w:rPr>
              <w:t>100</w:t>
            </w:r>
            <w:r w:rsidR="00641F94">
              <w:rPr>
                <w:rFonts w:cs="Calibri"/>
                <w:b/>
                <w:color w:val="172B4D"/>
              </w:rPr>
              <w:t>.</w:t>
            </w:r>
            <w:r w:rsidRPr="00577DAA">
              <w:rPr>
                <w:rFonts w:cs="Calibri"/>
                <w:b/>
                <w:color w:val="172B4D"/>
              </w:rPr>
              <w:t>0</w:t>
            </w:r>
          </w:p>
        </w:tc>
        <w:tc>
          <w:tcPr>
            <w:tcW w:w="610" w:type="pct"/>
            <w:tcBorders>
              <w:top w:val="nil"/>
              <w:left w:val="nil"/>
              <w:bottom w:val="single" w:sz="4" w:space="0" w:color="auto"/>
              <w:right w:val="single" w:sz="4" w:space="0" w:color="auto"/>
            </w:tcBorders>
            <w:shd w:val="clear" w:color="000000" w:fill="FFFFFF"/>
            <w:noWrap/>
            <w:vAlign w:val="center"/>
            <w:hideMark/>
          </w:tcPr>
          <w:p w14:paraId="21FC3E40" w14:textId="45E4F928" w:rsidR="00EC2495" w:rsidRPr="00577DAA" w:rsidRDefault="00EC2495" w:rsidP="00EC2495">
            <w:pPr>
              <w:jc w:val="center"/>
              <w:rPr>
                <w:rFonts w:cs="Calibri"/>
                <w:b/>
                <w:color w:val="172B4D"/>
              </w:rPr>
            </w:pPr>
            <w:r w:rsidRPr="00577DAA">
              <w:rPr>
                <w:rFonts w:cs="Calibri"/>
                <w:b/>
                <w:color w:val="172B4D"/>
              </w:rPr>
              <w:t>100</w:t>
            </w:r>
            <w:r w:rsidR="00641F94">
              <w:rPr>
                <w:rFonts w:cs="Calibri"/>
                <w:b/>
                <w:color w:val="172B4D"/>
              </w:rPr>
              <w:t>.</w:t>
            </w:r>
            <w:r w:rsidRPr="00577DAA">
              <w:rPr>
                <w:rFonts w:cs="Calibri"/>
                <w:b/>
                <w:color w:val="172B4D"/>
              </w:rPr>
              <w:t>0</w:t>
            </w:r>
          </w:p>
        </w:tc>
        <w:tc>
          <w:tcPr>
            <w:tcW w:w="610" w:type="pct"/>
            <w:tcBorders>
              <w:top w:val="nil"/>
              <w:left w:val="nil"/>
              <w:bottom w:val="single" w:sz="4" w:space="0" w:color="auto"/>
              <w:right w:val="single" w:sz="4" w:space="0" w:color="auto"/>
            </w:tcBorders>
            <w:shd w:val="clear" w:color="000000" w:fill="FFFFFF"/>
            <w:noWrap/>
            <w:vAlign w:val="center"/>
            <w:hideMark/>
          </w:tcPr>
          <w:p w14:paraId="64ECD12C" w14:textId="6F894ABB" w:rsidR="00EC2495" w:rsidRPr="00577DAA" w:rsidRDefault="00EC2495" w:rsidP="00EC2495">
            <w:pPr>
              <w:jc w:val="center"/>
              <w:rPr>
                <w:rFonts w:cs="Calibri"/>
                <w:b/>
                <w:color w:val="172B4D"/>
              </w:rPr>
            </w:pPr>
            <w:r w:rsidRPr="00577DAA">
              <w:rPr>
                <w:rFonts w:cs="Calibri"/>
                <w:b/>
                <w:color w:val="172B4D"/>
              </w:rPr>
              <w:t>100</w:t>
            </w:r>
            <w:r w:rsidR="00641F94">
              <w:rPr>
                <w:rFonts w:cs="Calibri"/>
                <w:b/>
                <w:color w:val="172B4D"/>
              </w:rPr>
              <w:t>.</w:t>
            </w:r>
            <w:r w:rsidRPr="00577DAA">
              <w:rPr>
                <w:rFonts w:cs="Calibri"/>
                <w:b/>
                <w:color w:val="172B4D"/>
              </w:rPr>
              <w:t>0</w:t>
            </w:r>
          </w:p>
        </w:tc>
        <w:tc>
          <w:tcPr>
            <w:tcW w:w="610" w:type="pct"/>
            <w:tcBorders>
              <w:top w:val="nil"/>
              <w:left w:val="nil"/>
              <w:bottom w:val="single" w:sz="4" w:space="0" w:color="auto"/>
              <w:right w:val="single" w:sz="4" w:space="0" w:color="auto"/>
            </w:tcBorders>
            <w:shd w:val="clear" w:color="000000" w:fill="FFFFFF"/>
            <w:noWrap/>
            <w:vAlign w:val="center"/>
            <w:hideMark/>
          </w:tcPr>
          <w:p w14:paraId="6C218077" w14:textId="2F878F4C" w:rsidR="00EC2495" w:rsidRPr="00577DAA" w:rsidRDefault="00EC2495" w:rsidP="00EC2495">
            <w:pPr>
              <w:jc w:val="center"/>
              <w:rPr>
                <w:rFonts w:cs="Calibri"/>
                <w:b/>
                <w:color w:val="172B4D"/>
              </w:rPr>
            </w:pPr>
            <w:r w:rsidRPr="00577DAA">
              <w:rPr>
                <w:rFonts w:cs="Calibri"/>
                <w:b/>
                <w:color w:val="172B4D"/>
              </w:rPr>
              <w:t>100</w:t>
            </w:r>
            <w:r w:rsidR="00641F94">
              <w:rPr>
                <w:rFonts w:cs="Calibri"/>
                <w:b/>
                <w:color w:val="172B4D"/>
              </w:rPr>
              <w:t>.</w:t>
            </w:r>
            <w:r w:rsidRPr="00577DAA">
              <w:rPr>
                <w:rFonts w:cs="Calibri"/>
                <w:b/>
                <w:color w:val="172B4D"/>
              </w:rPr>
              <w:t>0</w:t>
            </w:r>
          </w:p>
        </w:tc>
        <w:tc>
          <w:tcPr>
            <w:tcW w:w="610" w:type="pct"/>
            <w:tcBorders>
              <w:top w:val="nil"/>
              <w:left w:val="nil"/>
              <w:bottom w:val="single" w:sz="4" w:space="0" w:color="auto"/>
              <w:right w:val="single" w:sz="4" w:space="0" w:color="auto"/>
            </w:tcBorders>
            <w:shd w:val="clear" w:color="000000" w:fill="FFFFFF"/>
            <w:noWrap/>
            <w:vAlign w:val="center"/>
            <w:hideMark/>
          </w:tcPr>
          <w:p w14:paraId="5C4A3C41" w14:textId="215BBBB5" w:rsidR="00EC2495" w:rsidRPr="00577DAA" w:rsidRDefault="00EC2495" w:rsidP="00EC2495">
            <w:pPr>
              <w:jc w:val="center"/>
              <w:rPr>
                <w:rFonts w:cs="Calibri"/>
                <w:b/>
                <w:color w:val="172B4D"/>
              </w:rPr>
            </w:pPr>
            <w:r w:rsidRPr="00577DAA">
              <w:rPr>
                <w:rFonts w:cs="Calibri"/>
                <w:b/>
                <w:color w:val="172B4D"/>
              </w:rPr>
              <w:t>100</w:t>
            </w:r>
            <w:r w:rsidR="00641F94">
              <w:rPr>
                <w:rFonts w:cs="Calibri"/>
                <w:b/>
                <w:color w:val="172B4D"/>
              </w:rPr>
              <w:t>.</w:t>
            </w:r>
            <w:r w:rsidRPr="00577DAA">
              <w:rPr>
                <w:rFonts w:cs="Calibri"/>
                <w:b/>
                <w:color w:val="172B4D"/>
              </w:rPr>
              <w:t>0</w:t>
            </w:r>
          </w:p>
        </w:tc>
      </w:tr>
    </w:tbl>
    <w:p w14:paraId="59AD78A2" w14:textId="24797E5E" w:rsidR="00EC2495" w:rsidRDefault="00EC2495" w:rsidP="00EC2495"/>
    <w:p w14:paraId="63F1AAD2" w14:textId="77777777" w:rsidR="00656286" w:rsidRDefault="00656286" w:rsidP="00EC2495"/>
    <w:p w14:paraId="6EF9C487" w14:textId="77777777" w:rsidR="00EC2495" w:rsidRPr="009243B7" w:rsidRDefault="00EC2495" w:rsidP="00EC2495">
      <w:pPr>
        <w:rPr>
          <w:i/>
          <w:iCs/>
          <w:color w:val="44546A" w:themeColor="text2"/>
          <w:sz w:val="18"/>
          <w:szCs w:val="18"/>
          <w:lang w:val="en-GB"/>
        </w:rPr>
      </w:pPr>
      <w:r w:rsidRPr="009243B7">
        <w:rPr>
          <w:i/>
          <w:iCs/>
          <w:color w:val="44546A" w:themeColor="text2"/>
          <w:sz w:val="18"/>
          <w:szCs w:val="18"/>
          <w:lang w:val="en-GB"/>
        </w:rPr>
        <w:t>Table 6: Italian OJAs quarterly rate by geographical area and quarter</w:t>
      </w:r>
    </w:p>
    <w:tbl>
      <w:tblPr>
        <w:tblW w:w="5000" w:type="pct"/>
        <w:tblCellMar>
          <w:left w:w="70" w:type="dxa"/>
          <w:right w:w="70" w:type="dxa"/>
        </w:tblCellMar>
        <w:tblLook w:val="04A0" w:firstRow="1" w:lastRow="0" w:firstColumn="1" w:lastColumn="0" w:noHBand="0" w:noVBand="1"/>
      </w:tblPr>
      <w:tblGrid>
        <w:gridCol w:w="2414"/>
        <w:gridCol w:w="1101"/>
        <w:gridCol w:w="1101"/>
        <w:gridCol w:w="1100"/>
        <w:gridCol w:w="1100"/>
        <w:gridCol w:w="1100"/>
        <w:gridCol w:w="1100"/>
      </w:tblGrid>
      <w:tr w:rsidR="00EC2495" w:rsidRPr="00577DAA" w14:paraId="63325AB4" w14:textId="77777777" w:rsidTr="00577DAA">
        <w:trPr>
          <w:trHeight w:val="375"/>
        </w:trPr>
        <w:tc>
          <w:tcPr>
            <w:tcW w:w="133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EF55B89" w14:textId="77777777" w:rsidR="00EC2495" w:rsidRPr="00577DAA" w:rsidRDefault="00EC2495" w:rsidP="00577DAA">
            <w:pPr>
              <w:jc w:val="both"/>
              <w:rPr>
                <w:rFonts w:ascii="Segoe UI" w:hAnsi="Segoe UI" w:cs="Segoe UI"/>
                <w:b/>
                <w:color w:val="172B4D"/>
                <w:sz w:val="21"/>
                <w:szCs w:val="21"/>
                <w:lang w:val="en-US"/>
              </w:rPr>
            </w:pPr>
            <w:r w:rsidRPr="00577DAA">
              <w:rPr>
                <w:rFonts w:ascii="Segoe UI" w:hAnsi="Segoe UI" w:cs="Segoe UI"/>
                <w:b/>
                <w:color w:val="172B4D"/>
                <w:sz w:val="21"/>
                <w:szCs w:val="21"/>
                <w:lang w:val="en-US"/>
              </w:rPr>
              <w:t>Geographical area</w:t>
            </w:r>
          </w:p>
        </w:tc>
        <w:tc>
          <w:tcPr>
            <w:tcW w:w="61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5C59793" w14:textId="77777777" w:rsidR="00EC2495" w:rsidRPr="00577DAA" w:rsidRDefault="00EC2495" w:rsidP="00AC3620">
            <w:pPr>
              <w:jc w:val="center"/>
              <w:rPr>
                <w:rFonts w:ascii="Segoe UI" w:hAnsi="Segoe UI" w:cs="Segoe UI"/>
                <w:b/>
                <w:color w:val="172B4D"/>
                <w:sz w:val="21"/>
                <w:szCs w:val="21"/>
                <w:lang w:val="en-US"/>
              </w:rPr>
            </w:pPr>
            <w:r w:rsidRPr="00577DAA">
              <w:rPr>
                <w:rFonts w:ascii="Segoe UI" w:hAnsi="Segoe UI" w:cs="Segoe UI"/>
                <w:b/>
                <w:color w:val="172B4D"/>
                <w:sz w:val="21"/>
                <w:szCs w:val="21"/>
                <w:lang w:val="en-US"/>
              </w:rPr>
              <w:t>Q32018</w:t>
            </w:r>
          </w:p>
        </w:tc>
        <w:tc>
          <w:tcPr>
            <w:tcW w:w="61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8549F2C" w14:textId="77777777" w:rsidR="00EC2495" w:rsidRPr="00577DAA" w:rsidRDefault="00EC2495" w:rsidP="00577DAA">
            <w:pPr>
              <w:jc w:val="both"/>
              <w:rPr>
                <w:rFonts w:ascii="Segoe UI" w:hAnsi="Segoe UI" w:cs="Segoe UI"/>
                <w:b/>
                <w:color w:val="172B4D"/>
                <w:sz w:val="21"/>
                <w:szCs w:val="21"/>
                <w:lang w:val="en-US"/>
              </w:rPr>
            </w:pPr>
            <w:r w:rsidRPr="00577DAA">
              <w:rPr>
                <w:rFonts w:ascii="Segoe UI" w:hAnsi="Segoe UI" w:cs="Segoe UI"/>
                <w:b/>
                <w:color w:val="172B4D"/>
                <w:sz w:val="21"/>
                <w:szCs w:val="21"/>
                <w:lang w:val="en-US"/>
              </w:rPr>
              <w:t>Q42018</w:t>
            </w:r>
          </w:p>
        </w:tc>
        <w:tc>
          <w:tcPr>
            <w:tcW w:w="61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16B1A5F" w14:textId="77777777" w:rsidR="00EC2495" w:rsidRPr="00577DAA" w:rsidRDefault="00EC2495" w:rsidP="00577DAA">
            <w:pPr>
              <w:jc w:val="both"/>
              <w:rPr>
                <w:rFonts w:ascii="Segoe UI" w:hAnsi="Segoe UI" w:cs="Segoe UI"/>
                <w:b/>
                <w:color w:val="172B4D"/>
                <w:sz w:val="21"/>
                <w:szCs w:val="21"/>
                <w:lang w:val="en-US"/>
              </w:rPr>
            </w:pPr>
            <w:r w:rsidRPr="00577DAA">
              <w:rPr>
                <w:rFonts w:ascii="Segoe UI" w:hAnsi="Segoe UI" w:cs="Segoe UI"/>
                <w:b/>
                <w:color w:val="172B4D"/>
                <w:sz w:val="21"/>
                <w:szCs w:val="21"/>
                <w:lang w:val="en-US"/>
              </w:rPr>
              <w:t>Q12019</w:t>
            </w:r>
          </w:p>
        </w:tc>
        <w:tc>
          <w:tcPr>
            <w:tcW w:w="61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4DFA1FB" w14:textId="77777777" w:rsidR="00EC2495" w:rsidRPr="00577DAA" w:rsidRDefault="00EC2495" w:rsidP="00577DAA">
            <w:pPr>
              <w:jc w:val="both"/>
              <w:rPr>
                <w:rFonts w:ascii="Segoe UI" w:hAnsi="Segoe UI" w:cs="Segoe UI"/>
                <w:b/>
                <w:color w:val="172B4D"/>
                <w:sz w:val="21"/>
                <w:szCs w:val="21"/>
                <w:lang w:val="en-US"/>
              </w:rPr>
            </w:pPr>
            <w:r w:rsidRPr="00577DAA">
              <w:rPr>
                <w:rFonts w:ascii="Segoe UI" w:hAnsi="Segoe UI" w:cs="Segoe UI"/>
                <w:b/>
                <w:color w:val="172B4D"/>
                <w:sz w:val="21"/>
                <w:szCs w:val="21"/>
                <w:lang w:val="en-US"/>
              </w:rPr>
              <w:t>Q22019</w:t>
            </w:r>
          </w:p>
        </w:tc>
        <w:tc>
          <w:tcPr>
            <w:tcW w:w="61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255CA23" w14:textId="77777777" w:rsidR="00EC2495" w:rsidRPr="00577DAA" w:rsidRDefault="00EC2495" w:rsidP="00577DAA">
            <w:pPr>
              <w:jc w:val="both"/>
              <w:rPr>
                <w:rFonts w:ascii="Segoe UI" w:hAnsi="Segoe UI" w:cs="Segoe UI"/>
                <w:b/>
                <w:color w:val="172B4D"/>
                <w:sz w:val="21"/>
                <w:szCs w:val="21"/>
                <w:lang w:val="en-US"/>
              </w:rPr>
            </w:pPr>
            <w:r w:rsidRPr="00577DAA">
              <w:rPr>
                <w:rFonts w:ascii="Segoe UI" w:hAnsi="Segoe UI" w:cs="Segoe UI"/>
                <w:b/>
                <w:color w:val="172B4D"/>
                <w:sz w:val="21"/>
                <w:szCs w:val="21"/>
                <w:lang w:val="en-US"/>
              </w:rPr>
              <w:t>Q32019</w:t>
            </w:r>
          </w:p>
        </w:tc>
        <w:tc>
          <w:tcPr>
            <w:tcW w:w="61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0388426" w14:textId="77777777" w:rsidR="00EC2495" w:rsidRPr="00577DAA" w:rsidRDefault="00EC2495" w:rsidP="00577DAA">
            <w:pPr>
              <w:jc w:val="both"/>
              <w:rPr>
                <w:rFonts w:ascii="Segoe UI" w:hAnsi="Segoe UI" w:cs="Segoe UI"/>
                <w:b/>
                <w:color w:val="172B4D"/>
                <w:sz w:val="21"/>
                <w:szCs w:val="21"/>
                <w:lang w:val="en-US"/>
              </w:rPr>
            </w:pPr>
            <w:r w:rsidRPr="00577DAA">
              <w:rPr>
                <w:rFonts w:ascii="Segoe UI" w:hAnsi="Segoe UI" w:cs="Segoe UI"/>
                <w:b/>
                <w:color w:val="172B4D"/>
                <w:sz w:val="21"/>
                <w:szCs w:val="21"/>
                <w:lang w:val="en-US"/>
              </w:rPr>
              <w:t>Q42019</w:t>
            </w:r>
          </w:p>
        </w:tc>
      </w:tr>
      <w:tr w:rsidR="00EC2495" w:rsidRPr="009243B7" w14:paraId="5CF6CFDE" w14:textId="77777777" w:rsidTr="00EC2495">
        <w:trPr>
          <w:trHeight w:val="375"/>
        </w:trPr>
        <w:tc>
          <w:tcPr>
            <w:tcW w:w="1337" w:type="pct"/>
            <w:tcBorders>
              <w:top w:val="nil"/>
              <w:left w:val="single" w:sz="4" w:space="0" w:color="auto"/>
              <w:bottom w:val="single" w:sz="4" w:space="0" w:color="auto"/>
              <w:right w:val="single" w:sz="4" w:space="0" w:color="auto"/>
            </w:tcBorders>
            <w:shd w:val="clear" w:color="000000" w:fill="FFFFFF"/>
            <w:vAlign w:val="center"/>
            <w:hideMark/>
          </w:tcPr>
          <w:p w14:paraId="1DCE8E60"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North - West</w:t>
            </w:r>
          </w:p>
        </w:tc>
        <w:tc>
          <w:tcPr>
            <w:tcW w:w="610" w:type="pct"/>
            <w:tcBorders>
              <w:top w:val="nil"/>
              <w:left w:val="nil"/>
              <w:bottom w:val="single" w:sz="4" w:space="0" w:color="auto"/>
              <w:right w:val="single" w:sz="4" w:space="0" w:color="auto"/>
            </w:tcBorders>
            <w:shd w:val="clear" w:color="000000" w:fill="FFFFFF"/>
            <w:noWrap/>
            <w:vAlign w:val="center"/>
            <w:hideMark/>
          </w:tcPr>
          <w:p w14:paraId="1838AA55" w14:textId="12BCFD98" w:rsidR="00EC2495" w:rsidRPr="00577DAA" w:rsidRDefault="00EC2495" w:rsidP="00EC2495">
            <w:pPr>
              <w:jc w:val="center"/>
              <w:rPr>
                <w:rFonts w:cs="Calibri"/>
                <w:color w:val="172B4D"/>
              </w:rPr>
            </w:pPr>
            <w:r w:rsidRPr="00577DAA">
              <w:rPr>
                <w:rFonts w:cs="Calibri"/>
                <w:color w:val="172B4D"/>
              </w:rPr>
              <w:t>1</w:t>
            </w:r>
            <w:r w:rsidR="00641F94">
              <w:rPr>
                <w:rFonts w:cs="Calibri"/>
                <w:color w:val="172B4D"/>
              </w:rPr>
              <w:t>.</w:t>
            </w:r>
            <w:r w:rsidRPr="00577DAA">
              <w:rPr>
                <w:rFonts w:cs="Calibri"/>
                <w:color w:val="172B4D"/>
              </w:rPr>
              <w:t>5</w:t>
            </w:r>
          </w:p>
        </w:tc>
        <w:tc>
          <w:tcPr>
            <w:tcW w:w="610" w:type="pct"/>
            <w:tcBorders>
              <w:top w:val="nil"/>
              <w:left w:val="nil"/>
              <w:bottom w:val="single" w:sz="4" w:space="0" w:color="auto"/>
              <w:right w:val="single" w:sz="4" w:space="0" w:color="auto"/>
            </w:tcBorders>
            <w:shd w:val="clear" w:color="000000" w:fill="FFFFFF"/>
            <w:noWrap/>
            <w:vAlign w:val="center"/>
            <w:hideMark/>
          </w:tcPr>
          <w:p w14:paraId="50EB2DDC" w14:textId="3ACB5B6A" w:rsidR="00EC2495" w:rsidRPr="00577DAA" w:rsidRDefault="00EC2495" w:rsidP="00EC2495">
            <w:pPr>
              <w:jc w:val="center"/>
              <w:rPr>
                <w:rFonts w:cs="Calibri"/>
                <w:color w:val="172B4D"/>
              </w:rPr>
            </w:pPr>
            <w:r w:rsidRPr="00577DAA">
              <w:rPr>
                <w:rFonts w:cs="Calibri"/>
                <w:color w:val="172B4D"/>
              </w:rPr>
              <w:t>1</w:t>
            </w:r>
            <w:r w:rsidR="00641F94">
              <w:rPr>
                <w:rFonts w:cs="Calibri"/>
                <w:color w:val="172B4D"/>
              </w:rPr>
              <w:t>.</w:t>
            </w:r>
            <w:r w:rsidRPr="00577DAA">
              <w:rPr>
                <w:rFonts w:cs="Calibri"/>
                <w:color w:val="172B4D"/>
              </w:rPr>
              <w:t>8</w:t>
            </w:r>
          </w:p>
        </w:tc>
        <w:tc>
          <w:tcPr>
            <w:tcW w:w="610" w:type="pct"/>
            <w:tcBorders>
              <w:top w:val="nil"/>
              <w:left w:val="nil"/>
              <w:bottom w:val="single" w:sz="4" w:space="0" w:color="auto"/>
              <w:right w:val="single" w:sz="4" w:space="0" w:color="auto"/>
            </w:tcBorders>
            <w:shd w:val="clear" w:color="000000" w:fill="FFFFFF"/>
            <w:noWrap/>
            <w:vAlign w:val="center"/>
            <w:hideMark/>
          </w:tcPr>
          <w:p w14:paraId="694B267D" w14:textId="6985646A" w:rsidR="00EC2495" w:rsidRPr="00577DAA" w:rsidRDefault="00EC2495" w:rsidP="00EC2495">
            <w:pPr>
              <w:jc w:val="center"/>
              <w:rPr>
                <w:rFonts w:cs="Calibri"/>
                <w:color w:val="172B4D"/>
              </w:rPr>
            </w:pPr>
            <w:r w:rsidRPr="00577DAA">
              <w:rPr>
                <w:rFonts w:cs="Calibri"/>
                <w:color w:val="172B4D"/>
              </w:rPr>
              <w:t>2</w:t>
            </w:r>
            <w:r w:rsidR="00641F94">
              <w:rPr>
                <w:rFonts w:cs="Calibri"/>
                <w:color w:val="172B4D"/>
              </w:rPr>
              <w:t>.</w:t>
            </w:r>
            <w:r w:rsidRPr="00577DAA">
              <w:rPr>
                <w:rFonts w:cs="Calibri"/>
                <w:color w:val="172B4D"/>
              </w:rPr>
              <w:t>8</w:t>
            </w:r>
          </w:p>
        </w:tc>
        <w:tc>
          <w:tcPr>
            <w:tcW w:w="610" w:type="pct"/>
            <w:tcBorders>
              <w:top w:val="nil"/>
              <w:left w:val="nil"/>
              <w:bottom w:val="single" w:sz="4" w:space="0" w:color="auto"/>
              <w:right w:val="single" w:sz="4" w:space="0" w:color="auto"/>
            </w:tcBorders>
            <w:shd w:val="clear" w:color="000000" w:fill="FFFFFF"/>
            <w:noWrap/>
            <w:vAlign w:val="center"/>
            <w:hideMark/>
          </w:tcPr>
          <w:p w14:paraId="031073E3" w14:textId="2DD60065" w:rsidR="00EC2495" w:rsidRPr="00577DAA" w:rsidRDefault="00EC2495" w:rsidP="00EC2495">
            <w:pPr>
              <w:jc w:val="center"/>
              <w:rPr>
                <w:rFonts w:cs="Calibri"/>
                <w:color w:val="172B4D"/>
              </w:rPr>
            </w:pPr>
            <w:r w:rsidRPr="00577DAA">
              <w:rPr>
                <w:rFonts w:cs="Calibri"/>
                <w:color w:val="172B4D"/>
              </w:rPr>
              <w:t>1</w:t>
            </w:r>
            <w:r w:rsidR="00641F94">
              <w:rPr>
                <w:rFonts w:cs="Calibri"/>
                <w:color w:val="172B4D"/>
              </w:rPr>
              <w:t>.</w:t>
            </w:r>
            <w:r w:rsidRPr="00577DAA">
              <w:rPr>
                <w:rFonts w:cs="Calibri"/>
                <w:color w:val="172B4D"/>
              </w:rPr>
              <w:t>6</w:t>
            </w:r>
          </w:p>
        </w:tc>
        <w:tc>
          <w:tcPr>
            <w:tcW w:w="610" w:type="pct"/>
            <w:tcBorders>
              <w:top w:val="nil"/>
              <w:left w:val="nil"/>
              <w:bottom w:val="single" w:sz="4" w:space="0" w:color="auto"/>
              <w:right w:val="single" w:sz="4" w:space="0" w:color="auto"/>
            </w:tcBorders>
            <w:shd w:val="clear" w:color="000000" w:fill="FFFFFF"/>
            <w:noWrap/>
            <w:vAlign w:val="center"/>
            <w:hideMark/>
          </w:tcPr>
          <w:p w14:paraId="293A8337" w14:textId="158ECC88" w:rsidR="00EC2495" w:rsidRPr="00577DAA" w:rsidRDefault="00EC2495" w:rsidP="00EC2495">
            <w:pPr>
              <w:jc w:val="center"/>
              <w:rPr>
                <w:rFonts w:cs="Calibri"/>
                <w:color w:val="172B4D"/>
              </w:rPr>
            </w:pPr>
            <w:r w:rsidRPr="00577DAA">
              <w:rPr>
                <w:rFonts w:cs="Calibri"/>
                <w:color w:val="172B4D"/>
              </w:rPr>
              <w:t>2</w:t>
            </w:r>
            <w:r w:rsidR="00641F94">
              <w:rPr>
                <w:rFonts w:cs="Calibri"/>
                <w:color w:val="172B4D"/>
              </w:rPr>
              <w:t>.</w:t>
            </w:r>
            <w:r w:rsidRPr="00577DAA">
              <w:rPr>
                <w:rFonts w:cs="Calibri"/>
                <w:color w:val="172B4D"/>
              </w:rPr>
              <w:t>1</w:t>
            </w:r>
          </w:p>
        </w:tc>
        <w:tc>
          <w:tcPr>
            <w:tcW w:w="610" w:type="pct"/>
            <w:tcBorders>
              <w:top w:val="nil"/>
              <w:left w:val="nil"/>
              <w:bottom w:val="single" w:sz="4" w:space="0" w:color="auto"/>
              <w:right w:val="single" w:sz="4" w:space="0" w:color="auto"/>
            </w:tcBorders>
            <w:shd w:val="clear" w:color="000000" w:fill="FFFFFF"/>
            <w:noWrap/>
            <w:vAlign w:val="center"/>
            <w:hideMark/>
          </w:tcPr>
          <w:p w14:paraId="44C88DDA" w14:textId="6DD0D52B" w:rsidR="00EC2495" w:rsidRPr="00577DAA" w:rsidRDefault="00EC2495" w:rsidP="00EC2495">
            <w:pPr>
              <w:jc w:val="center"/>
              <w:rPr>
                <w:rFonts w:cs="Calibri"/>
                <w:color w:val="172B4D"/>
              </w:rPr>
            </w:pPr>
            <w:r w:rsidRPr="00577DAA">
              <w:rPr>
                <w:rFonts w:cs="Calibri"/>
                <w:color w:val="172B4D"/>
              </w:rPr>
              <w:t>2</w:t>
            </w:r>
            <w:r w:rsidR="00641F94">
              <w:rPr>
                <w:rFonts w:cs="Calibri"/>
                <w:color w:val="172B4D"/>
              </w:rPr>
              <w:t>.</w:t>
            </w:r>
            <w:r w:rsidRPr="00577DAA">
              <w:rPr>
                <w:rFonts w:cs="Calibri"/>
                <w:color w:val="172B4D"/>
              </w:rPr>
              <w:t>6</w:t>
            </w:r>
          </w:p>
        </w:tc>
      </w:tr>
      <w:tr w:rsidR="00EC2495" w:rsidRPr="009243B7" w14:paraId="715032B4" w14:textId="77777777" w:rsidTr="00EC2495">
        <w:trPr>
          <w:trHeight w:val="375"/>
        </w:trPr>
        <w:tc>
          <w:tcPr>
            <w:tcW w:w="1337" w:type="pct"/>
            <w:tcBorders>
              <w:top w:val="nil"/>
              <w:left w:val="single" w:sz="4" w:space="0" w:color="auto"/>
              <w:bottom w:val="single" w:sz="4" w:space="0" w:color="auto"/>
              <w:right w:val="single" w:sz="4" w:space="0" w:color="auto"/>
            </w:tcBorders>
            <w:shd w:val="clear" w:color="000000" w:fill="FFFFFF"/>
            <w:vAlign w:val="center"/>
            <w:hideMark/>
          </w:tcPr>
          <w:p w14:paraId="0391522A"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North - East</w:t>
            </w:r>
          </w:p>
        </w:tc>
        <w:tc>
          <w:tcPr>
            <w:tcW w:w="610" w:type="pct"/>
            <w:tcBorders>
              <w:top w:val="nil"/>
              <w:left w:val="nil"/>
              <w:bottom w:val="single" w:sz="4" w:space="0" w:color="auto"/>
              <w:right w:val="single" w:sz="4" w:space="0" w:color="auto"/>
            </w:tcBorders>
            <w:shd w:val="clear" w:color="000000" w:fill="FFFFFF"/>
            <w:noWrap/>
            <w:vAlign w:val="center"/>
            <w:hideMark/>
          </w:tcPr>
          <w:p w14:paraId="7909D8EA" w14:textId="208370B8" w:rsidR="00EC2495" w:rsidRPr="00577DAA" w:rsidRDefault="00EC2495" w:rsidP="00EC2495">
            <w:pPr>
              <w:jc w:val="center"/>
              <w:rPr>
                <w:rFonts w:cs="Calibri"/>
                <w:color w:val="172B4D"/>
              </w:rPr>
            </w:pPr>
            <w:r w:rsidRPr="00577DAA">
              <w:rPr>
                <w:rFonts w:cs="Calibri"/>
                <w:color w:val="172B4D"/>
              </w:rPr>
              <w:t>1</w:t>
            </w:r>
            <w:r w:rsidR="00641F94">
              <w:rPr>
                <w:rFonts w:cs="Calibri"/>
                <w:color w:val="172B4D"/>
              </w:rPr>
              <w:t>.</w:t>
            </w:r>
            <w:r w:rsidRPr="00577DAA">
              <w:rPr>
                <w:rFonts w:cs="Calibri"/>
                <w:color w:val="172B4D"/>
              </w:rPr>
              <w:t>6</w:t>
            </w:r>
          </w:p>
        </w:tc>
        <w:tc>
          <w:tcPr>
            <w:tcW w:w="610" w:type="pct"/>
            <w:tcBorders>
              <w:top w:val="nil"/>
              <w:left w:val="nil"/>
              <w:bottom w:val="single" w:sz="4" w:space="0" w:color="auto"/>
              <w:right w:val="single" w:sz="4" w:space="0" w:color="auto"/>
            </w:tcBorders>
            <w:shd w:val="clear" w:color="000000" w:fill="FFFFFF"/>
            <w:noWrap/>
            <w:vAlign w:val="center"/>
            <w:hideMark/>
          </w:tcPr>
          <w:p w14:paraId="09D38A0A" w14:textId="15AAE653" w:rsidR="00EC2495" w:rsidRPr="00577DAA" w:rsidRDefault="00EC2495" w:rsidP="00EC2495">
            <w:pPr>
              <w:jc w:val="center"/>
              <w:rPr>
                <w:rFonts w:cs="Calibri"/>
                <w:color w:val="172B4D"/>
              </w:rPr>
            </w:pPr>
            <w:r w:rsidRPr="00577DAA">
              <w:rPr>
                <w:rFonts w:cs="Calibri"/>
                <w:color w:val="172B4D"/>
              </w:rPr>
              <w:t>2</w:t>
            </w:r>
            <w:r w:rsidR="00641F94">
              <w:rPr>
                <w:rFonts w:cs="Calibri"/>
                <w:color w:val="172B4D"/>
              </w:rPr>
              <w:t>.</w:t>
            </w:r>
            <w:r w:rsidRPr="00577DAA">
              <w:rPr>
                <w:rFonts w:cs="Calibri"/>
                <w:color w:val="172B4D"/>
              </w:rPr>
              <w:t>0</w:t>
            </w:r>
          </w:p>
        </w:tc>
        <w:tc>
          <w:tcPr>
            <w:tcW w:w="610" w:type="pct"/>
            <w:tcBorders>
              <w:top w:val="nil"/>
              <w:left w:val="nil"/>
              <w:bottom w:val="single" w:sz="4" w:space="0" w:color="auto"/>
              <w:right w:val="single" w:sz="4" w:space="0" w:color="auto"/>
            </w:tcBorders>
            <w:shd w:val="clear" w:color="000000" w:fill="FFFFFF"/>
            <w:noWrap/>
            <w:vAlign w:val="center"/>
            <w:hideMark/>
          </w:tcPr>
          <w:p w14:paraId="13634D05" w14:textId="77FF38F3" w:rsidR="00EC2495" w:rsidRPr="00577DAA" w:rsidRDefault="00EC2495" w:rsidP="00EC2495">
            <w:pPr>
              <w:jc w:val="center"/>
              <w:rPr>
                <w:rFonts w:cs="Calibri"/>
                <w:color w:val="172B4D"/>
              </w:rPr>
            </w:pPr>
            <w:r w:rsidRPr="00577DAA">
              <w:rPr>
                <w:rFonts w:cs="Calibri"/>
                <w:color w:val="172B4D"/>
              </w:rPr>
              <w:t>3</w:t>
            </w:r>
            <w:r w:rsidR="00641F94">
              <w:rPr>
                <w:rFonts w:cs="Calibri"/>
                <w:color w:val="172B4D"/>
              </w:rPr>
              <w:t>.</w:t>
            </w:r>
            <w:r w:rsidRPr="00577DAA">
              <w:rPr>
                <w:rFonts w:cs="Calibri"/>
                <w:color w:val="172B4D"/>
              </w:rPr>
              <w:t>1</w:t>
            </w:r>
          </w:p>
        </w:tc>
        <w:tc>
          <w:tcPr>
            <w:tcW w:w="610" w:type="pct"/>
            <w:tcBorders>
              <w:top w:val="nil"/>
              <w:left w:val="nil"/>
              <w:bottom w:val="single" w:sz="4" w:space="0" w:color="auto"/>
              <w:right w:val="single" w:sz="4" w:space="0" w:color="auto"/>
            </w:tcBorders>
            <w:shd w:val="clear" w:color="000000" w:fill="FFFFFF"/>
            <w:noWrap/>
            <w:vAlign w:val="center"/>
            <w:hideMark/>
          </w:tcPr>
          <w:p w14:paraId="638E72CF" w14:textId="3C92858E" w:rsidR="00EC2495" w:rsidRPr="00577DAA" w:rsidRDefault="00EC2495" w:rsidP="00EC2495">
            <w:pPr>
              <w:jc w:val="center"/>
              <w:rPr>
                <w:rFonts w:cs="Calibri"/>
                <w:color w:val="172B4D"/>
              </w:rPr>
            </w:pPr>
            <w:r w:rsidRPr="00577DAA">
              <w:rPr>
                <w:rFonts w:cs="Calibri"/>
                <w:color w:val="172B4D"/>
              </w:rPr>
              <w:t>1</w:t>
            </w:r>
            <w:r w:rsidR="00641F94">
              <w:rPr>
                <w:rFonts w:cs="Calibri"/>
                <w:color w:val="172B4D"/>
              </w:rPr>
              <w:t>.</w:t>
            </w:r>
            <w:r w:rsidRPr="00577DAA">
              <w:rPr>
                <w:rFonts w:cs="Calibri"/>
                <w:color w:val="172B4D"/>
              </w:rPr>
              <w:t>7</w:t>
            </w:r>
          </w:p>
        </w:tc>
        <w:tc>
          <w:tcPr>
            <w:tcW w:w="610" w:type="pct"/>
            <w:tcBorders>
              <w:top w:val="nil"/>
              <w:left w:val="nil"/>
              <w:bottom w:val="single" w:sz="4" w:space="0" w:color="auto"/>
              <w:right w:val="single" w:sz="4" w:space="0" w:color="auto"/>
            </w:tcBorders>
            <w:shd w:val="clear" w:color="000000" w:fill="FFFFFF"/>
            <w:noWrap/>
            <w:vAlign w:val="center"/>
            <w:hideMark/>
          </w:tcPr>
          <w:p w14:paraId="6AD75FAA" w14:textId="7A3D9874" w:rsidR="00EC2495" w:rsidRPr="00577DAA" w:rsidRDefault="00EC2495" w:rsidP="00EC2495">
            <w:pPr>
              <w:jc w:val="center"/>
              <w:rPr>
                <w:rFonts w:cs="Calibri"/>
                <w:color w:val="172B4D"/>
              </w:rPr>
            </w:pPr>
            <w:r w:rsidRPr="00577DAA">
              <w:rPr>
                <w:rFonts w:cs="Calibri"/>
                <w:color w:val="172B4D"/>
              </w:rPr>
              <w:t>2</w:t>
            </w:r>
            <w:r w:rsidR="00641F94">
              <w:rPr>
                <w:rFonts w:cs="Calibri"/>
                <w:color w:val="172B4D"/>
              </w:rPr>
              <w:t>.</w:t>
            </w:r>
            <w:r w:rsidRPr="00577DAA">
              <w:rPr>
                <w:rFonts w:cs="Calibri"/>
                <w:color w:val="172B4D"/>
              </w:rPr>
              <w:t>2</w:t>
            </w:r>
          </w:p>
        </w:tc>
        <w:tc>
          <w:tcPr>
            <w:tcW w:w="610" w:type="pct"/>
            <w:tcBorders>
              <w:top w:val="nil"/>
              <w:left w:val="nil"/>
              <w:bottom w:val="single" w:sz="4" w:space="0" w:color="auto"/>
              <w:right w:val="single" w:sz="4" w:space="0" w:color="auto"/>
            </w:tcBorders>
            <w:shd w:val="clear" w:color="000000" w:fill="FFFFFF"/>
            <w:noWrap/>
            <w:vAlign w:val="center"/>
            <w:hideMark/>
          </w:tcPr>
          <w:p w14:paraId="637DEF3F" w14:textId="509AB271" w:rsidR="00EC2495" w:rsidRPr="00577DAA" w:rsidRDefault="00EC2495" w:rsidP="00EC2495">
            <w:pPr>
              <w:jc w:val="center"/>
              <w:rPr>
                <w:rFonts w:cs="Calibri"/>
                <w:color w:val="172B4D"/>
              </w:rPr>
            </w:pPr>
            <w:r w:rsidRPr="00577DAA">
              <w:rPr>
                <w:rFonts w:cs="Calibri"/>
                <w:color w:val="172B4D"/>
              </w:rPr>
              <w:t>2</w:t>
            </w:r>
            <w:r w:rsidR="00641F94">
              <w:rPr>
                <w:rFonts w:cs="Calibri"/>
                <w:color w:val="172B4D"/>
              </w:rPr>
              <w:t>.</w:t>
            </w:r>
            <w:r w:rsidRPr="00577DAA">
              <w:rPr>
                <w:rFonts w:cs="Calibri"/>
                <w:color w:val="172B4D"/>
              </w:rPr>
              <w:t>6</w:t>
            </w:r>
          </w:p>
        </w:tc>
      </w:tr>
      <w:tr w:rsidR="00EC2495" w:rsidRPr="009243B7" w14:paraId="3383F832" w14:textId="77777777" w:rsidTr="00EC2495">
        <w:trPr>
          <w:trHeight w:val="375"/>
        </w:trPr>
        <w:tc>
          <w:tcPr>
            <w:tcW w:w="1337" w:type="pct"/>
            <w:tcBorders>
              <w:top w:val="nil"/>
              <w:left w:val="single" w:sz="4" w:space="0" w:color="auto"/>
              <w:bottom w:val="single" w:sz="4" w:space="0" w:color="auto"/>
              <w:right w:val="single" w:sz="4" w:space="0" w:color="auto"/>
            </w:tcBorders>
            <w:shd w:val="clear" w:color="000000" w:fill="FFFFFF"/>
            <w:vAlign w:val="center"/>
            <w:hideMark/>
          </w:tcPr>
          <w:p w14:paraId="2CB61608"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Centre</w:t>
            </w:r>
          </w:p>
        </w:tc>
        <w:tc>
          <w:tcPr>
            <w:tcW w:w="610" w:type="pct"/>
            <w:tcBorders>
              <w:top w:val="nil"/>
              <w:left w:val="nil"/>
              <w:bottom w:val="single" w:sz="4" w:space="0" w:color="auto"/>
              <w:right w:val="single" w:sz="4" w:space="0" w:color="auto"/>
            </w:tcBorders>
            <w:shd w:val="clear" w:color="000000" w:fill="FFFFFF"/>
            <w:noWrap/>
            <w:vAlign w:val="center"/>
            <w:hideMark/>
          </w:tcPr>
          <w:p w14:paraId="60780772" w14:textId="2C79930C" w:rsidR="00EC2495" w:rsidRPr="00577DAA" w:rsidRDefault="00EC2495" w:rsidP="00EC2495">
            <w:pPr>
              <w:jc w:val="center"/>
              <w:rPr>
                <w:rFonts w:cs="Calibri"/>
                <w:color w:val="172B4D"/>
              </w:rPr>
            </w:pPr>
            <w:r w:rsidRPr="00577DAA">
              <w:rPr>
                <w:rFonts w:cs="Calibri"/>
                <w:color w:val="172B4D"/>
              </w:rPr>
              <w:t>1</w:t>
            </w:r>
            <w:r w:rsidR="00641F94">
              <w:rPr>
                <w:rFonts w:cs="Calibri"/>
                <w:color w:val="172B4D"/>
              </w:rPr>
              <w:t>.</w:t>
            </w:r>
            <w:r w:rsidRPr="00577DAA">
              <w:rPr>
                <w:rFonts w:cs="Calibri"/>
                <w:color w:val="172B4D"/>
              </w:rPr>
              <w:t>0</w:t>
            </w:r>
          </w:p>
        </w:tc>
        <w:tc>
          <w:tcPr>
            <w:tcW w:w="610" w:type="pct"/>
            <w:tcBorders>
              <w:top w:val="nil"/>
              <w:left w:val="nil"/>
              <w:bottom w:val="single" w:sz="4" w:space="0" w:color="auto"/>
              <w:right w:val="single" w:sz="4" w:space="0" w:color="auto"/>
            </w:tcBorders>
            <w:shd w:val="clear" w:color="000000" w:fill="FFFFFF"/>
            <w:noWrap/>
            <w:vAlign w:val="center"/>
            <w:hideMark/>
          </w:tcPr>
          <w:p w14:paraId="77C298BF" w14:textId="729F3662" w:rsidR="00EC2495" w:rsidRPr="00577DAA" w:rsidRDefault="00EC2495" w:rsidP="00EC2495">
            <w:pPr>
              <w:jc w:val="center"/>
              <w:rPr>
                <w:rFonts w:cs="Calibri"/>
                <w:color w:val="172B4D"/>
              </w:rPr>
            </w:pPr>
            <w:r w:rsidRPr="00577DAA">
              <w:rPr>
                <w:rFonts w:cs="Calibri"/>
                <w:color w:val="172B4D"/>
              </w:rPr>
              <w:t>1</w:t>
            </w:r>
            <w:r w:rsidR="00641F94">
              <w:rPr>
                <w:rFonts w:cs="Calibri"/>
                <w:color w:val="172B4D"/>
              </w:rPr>
              <w:t>.</w:t>
            </w:r>
            <w:r w:rsidRPr="00577DAA">
              <w:rPr>
                <w:rFonts w:cs="Calibri"/>
                <w:color w:val="172B4D"/>
              </w:rPr>
              <w:t>2</w:t>
            </w:r>
          </w:p>
        </w:tc>
        <w:tc>
          <w:tcPr>
            <w:tcW w:w="610" w:type="pct"/>
            <w:tcBorders>
              <w:top w:val="nil"/>
              <w:left w:val="nil"/>
              <w:bottom w:val="single" w:sz="4" w:space="0" w:color="auto"/>
              <w:right w:val="single" w:sz="4" w:space="0" w:color="auto"/>
            </w:tcBorders>
            <w:shd w:val="clear" w:color="000000" w:fill="FFFFFF"/>
            <w:noWrap/>
            <w:vAlign w:val="center"/>
            <w:hideMark/>
          </w:tcPr>
          <w:p w14:paraId="7F6ACCA5" w14:textId="616A684E" w:rsidR="00EC2495" w:rsidRPr="00577DAA" w:rsidRDefault="00EC2495" w:rsidP="00EC2495">
            <w:pPr>
              <w:jc w:val="center"/>
              <w:rPr>
                <w:rFonts w:cs="Calibri"/>
                <w:color w:val="172B4D"/>
              </w:rPr>
            </w:pPr>
            <w:r w:rsidRPr="00577DAA">
              <w:rPr>
                <w:rFonts w:cs="Calibri"/>
                <w:color w:val="172B4D"/>
              </w:rPr>
              <w:t>1</w:t>
            </w:r>
            <w:r w:rsidR="00641F94">
              <w:rPr>
                <w:rFonts w:cs="Calibri"/>
                <w:color w:val="172B4D"/>
              </w:rPr>
              <w:t>.</w:t>
            </w:r>
            <w:r w:rsidRPr="00577DAA">
              <w:rPr>
                <w:rFonts w:cs="Calibri"/>
                <w:color w:val="172B4D"/>
              </w:rPr>
              <w:t>7</w:t>
            </w:r>
          </w:p>
        </w:tc>
        <w:tc>
          <w:tcPr>
            <w:tcW w:w="610" w:type="pct"/>
            <w:tcBorders>
              <w:top w:val="nil"/>
              <w:left w:val="nil"/>
              <w:bottom w:val="single" w:sz="4" w:space="0" w:color="auto"/>
              <w:right w:val="single" w:sz="4" w:space="0" w:color="auto"/>
            </w:tcBorders>
            <w:shd w:val="clear" w:color="000000" w:fill="FFFFFF"/>
            <w:noWrap/>
            <w:vAlign w:val="center"/>
            <w:hideMark/>
          </w:tcPr>
          <w:p w14:paraId="3F39E07C" w14:textId="3F76445A" w:rsidR="00EC2495" w:rsidRPr="00577DAA" w:rsidRDefault="00EC2495" w:rsidP="00EC2495">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9</w:t>
            </w:r>
          </w:p>
        </w:tc>
        <w:tc>
          <w:tcPr>
            <w:tcW w:w="610" w:type="pct"/>
            <w:tcBorders>
              <w:top w:val="nil"/>
              <w:left w:val="nil"/>
              <w:bottom w:val="single" w:sz="4" w:space="0" w:color="auto"/>
              <w:right w:val="single" w:sz="4" w:space="0" w:color="auto"/>
            </w:tcBorders>
            <w:shd w:val="clear" w:color="000000" w:fill="FFFFFF"/>
            <w:noWrap/>
            <w:vAlign w:val="center"/>
            <w:hideMark/>
          </w:tcPr>
          <w:p w14:paraId="2A65C958" w14:textId="391F02A1" w:rsidR="00EC2495" w:rsidRPr="00577DAA" w:rsidRDefault="00EC2495" w:rsidP="00EC2495">
            <w:pPr>
              <w:jc w:val="center"/>
              <w:rPr>
                <w:rFonts w:cs="Calibri"/>
                <w:color w:val="172B4D"/>
              </w:rPr>
            </w:pPr>
            <w:r w:rsidRPr="00577DAA">
              <w:rPr>
                <w:rFonts w:cs="Calibri"/>
                <w:color w:val="172B4D"/>
              </w:rPr>
              <w:t>1</w:t>
            </w:r>
            <w:r w:rsidR="00641F94">
              <w:rPr>
                <w:rFonts w:cs="Calibri"/>
                <w:color w:val="172B4D"/>
              </w:rPr>
              <w:t>.</w:t>
            </w:r>
            <w:r w:rsidRPr="00577DAA">
              <w:rPr>
                <w:rFonts w:cs="Calibri"/>
                <w:color w:val="172B4D"/>
              </w:rPr>
              <w:t>3</w:t>
            </w:r>
          </w:p>
        </w:tc>
        <w:tc>
          <w:tcPr>
            <w:tcW w:w="610" w:type="pct"/>
            <w:tcBorders>
              <w:top w:val="nil"/>
              <w:left w:val="nil"/>
              <w:bottom w:val="single" w:sz="4" w:space="0" w:color="auto"/>
              <w:right w:val="single" w:sz="4" w:space="0" w:color="auto"/>
            </w:tcBorders>
            <w:shd w:val="clear" w:color="000000" w:fill="FFFFFF"/>
            <w:noWrap/>
            <w:vAlign w:val="center"/>
            <w:hideMark/>
          </w:tcPr>
          <w:p w14:paraId="1DE9F5B6" w14:textId="2DCD8AD7" w:rsidR="00EC2495" w:rsidRPr="00577DAA" w:rsidRDefault="00EC2495" w:rsidP="00EC2495">
            <w:pPr>
              <w:jc w:val="center"/>
              <w:rPr>
                <w:rFonts w:cs="Calibri"/>
                <w:color w:val="172B4D"/>
              </w:rPr>
            </w:pPr>
            <w:r w:rsidRPr="00577DAA">
              <w:rPr>
                <w:rFonts w:cs="Calibri"/>
                <w:color w:val="172B4D"/>
              </w:rPr>
              <w:t>1</w:t>
            </w:r>
            <w:r w:rsidR="00641F94">
              <w:rPr>
                <w:rFonts w:cs="Calibri"/>
                <w:color w:val="172B4D"/>
              </w:rPr>
              <w:t>.</w:t>
            </w:r>
            <w:r w:rsidRPr="00577DAA">
              <w:rPr>
                <w:rFonts w:cs="Calibri"/>
                <w:color w:val="172B4D"/>
              </w:rPr>
              <w:t>6</w:t>
            </w:r>
          </w:p>
        </w:tc>
      </w:tr>
      <w:tr w:rsidR="00EC2495" w:rsidRPr="009243B7" w14:paraId="2AB6E47D" w14:textId="77777777" w:rsidTr="00EC2495">
        <w:trPr>
          <w:trHeight w:val="375"/>
        </w:trPr>
        <w:tc>
          <w:tcPr>
            <w:tcW w:w="1337" w:type="pct"/>
            <w:tcBorders>
              <w:top w:val="nil"/>
              <w:left w:val="single" w:sz="4" w:space="0" w:color="auto"/>
              <w:bottom w:val="single" w:sz="4" w:space="0" w:color="auto"/>
              <w:right w:val="single" w:sz="4" w:space="0" w:color="auto"/>
            </w:tcBorders>
            <w:shd w:val="clear" w:color="000000" w:fill="FFFFFF"/>
            <w:vAlign w:val="center"/>
            <w:hideMark/>
          </w:tcPr>
          <w:p w14:paraId="68D56F07"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South</w:t>
            </w:r>
          </w:p>
        </w:tc>
        <w:tc>
          <w:tcPr>
            <w:tcW w:w="610" w:type="pct"/>
            <w:tcBorders>
              <w:top w:val="nil"/>
              <w:left w:val="nil"/>
              <w:bottom w:val="single" w:sz="4" w:space="0" w:color="auto"/>
              <w:right w:val="single" w:sz="4" w:space="0" w:color="auto"/>
            </w:tcBorders>
            <w:shd w:val="clear" w:color="000000" w:fill="FFFFFF"/>
            <w:noWrap/>
            <w:vAlign w:val="center"/>
            <w:hideMark/>
          </w:tcPr>
          <w:p w14:paraId="5F1149B7" w14:textId="532F010E" w:rsidR="00EC2495" w:rsidRPr="00577DAA" w:rsidRDefault="00EC2495" w:rsidP="00EC2495">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7</w:t>
            </w:r>
          </w:p>
        </w:tc>
        <w:tc>
          <w:tcPr>
            <w:tcW w:w="610" w:type="pct"/>
            <w:tcBorders>
              <w:top w:val="nil"/>
              <w:left w:val="nil"/>
              <w:bottom w:val="single" w:sz="4" w:space="0" w:color="auto"/>
              <w:right w:val="single" w:sz="4" w:space="0" w:color="auto"/>
            </w:tcBorders>
            <w:shd w:val="clear" w:color="000000" w:fill="FFFFFF"/>
            <w:noWrap/>
            <w:vAlign w:val="center"/>
            <w:hideMark/>
          </w:tcPr>
          <w:p w14:paraId="3545DA15" w14:textId="6BCCF625" w:rsidR="00EC2495" w:rsidRPr="00577DAA" w:rsidRDefault="00EC2495" w:rsidP="00EC2495">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9</w:t>
            </w:r>
          </w:p>
        </w:tc>
        <w:tc>
          <w:tcPr>
            <w:tcW w:w="610" w:type="pct"/>
            <w:tcBorders>
              <w:top w:val="nil"/>
              <w:left w:val="nil"/>
              <w:bottom w:val="single" w:sz="4" w:space="0" w:color="auto"/>
              <w:right w:val="single" w:sz="4" w:space="0" w:color="auto"/>
            </w:tcBorders>
            <w:shd w:val="clear" w:color="000000" w:fill="FFFFFF"/>
            <w:noWrap/>
            <w:vAlign w:val="center"/>
            <w:hideMark/>
          </w:tcPr>
          <w:p w14:paraId="53CC20FC" w14:textId="2E4C1081" w:rsidR="00EC2495" w:rsidRPr="00577DAA" w:rsidRDefault="00EC2495" w:rsidP="00EC2495">
            <w:pPr>
              <w:jc w:val="center"/>
              <w:rPr>
                <w:rFonts w:cs="Calibri"/>
                <w:color w:val="172B4D"/>
              </w:rPr>
            </w:pPr>
            <w:r w:rsidRPr="00577DAA">
              <w:rPr>
                <w:rFonts w:cs="Calibri"/>
                <w:color w:val="172B4D"/>
              </w:rPr>
              <w:t>1</w:t>
            </w:r>
            <w:r w:rsidR="00641F94">
              <w:rPr>
                <w:rFonts w:cs="Calibri"/>
                <w:color w:val="172B4D"/>
              </w:rPr>
              <w:t>.</w:t>
            </w:r>
            <w:r w:rsidRPr="00577DAA">
              <w:rPr>
                <w:rFonts w:cs="Calibri"/>
                <w:color w:val="172B4D"/>
              </w:rPr>
              <w:t>2</w:t>
            </w:r>
          </w:p>
        </w:tc>
        <w:tc>
          <w:tcPr>
            <w:tcW w:w="610" w:type="pct"/>
            <w:tcBorders>
              <w:top w:val="nil"/>
              <w:left w:val="nil"/>
              <w:bottom w:val="single" w:sz="4" w:space="0" w:color="auto"/>
              <w:right w:val="single" w:sz="4" w:space="0" w:color="auto"/>
            </w:tcBorders>
            <w:shd w:val="clear" w:color="000000" w:fill="FFFFFF"/>
            <w:noWrap/>
            <w:vAlign w:val="center"/>
            <w:hideMark/>
          </w:tcPr>
          <w:p w14:paraId="591A36B7" w14:textId="2BE20BD6" w:rsidR="00EC2495" w:rsidRPr="00577DAA" w:rsidRDefault="00EC2495" w:rsidP="00EC2495">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6</w:t>
            </w:r>
          </w:p>
        </w:tc>
        <w:tc>
          <w:tcPr>
            <w:tcW w:w="610" w:type="pct"/>
            <w:tcBorders>
              <w:top w:val="nil"/>
              <w:left w:val="nil"/>
              <w:bottom w:val="single" w:sz="4" w:space="0" w:color="auto"/>
              <w:right w:val="single" w:sz="4" w:space="0" w:color="auto"/>
            </w:tcBorders>
            <w:shd w:val="clear" w:color="000000" w:fill="FFFFFF"/>
            <w:noWrap/>
            <w:vAlign w:val="center"/>
            <w:hideMark/>
          </w:tcPr>
          <w:p w14:paraId="5DB1FC25" w14:textId="2C7AFB25" w:rsidR="00EC2495" w:rsidRPr="00577DAA" w:rsidRDefault="00EC2495" w:rsidP="00EC2495">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9</w:t>
            </w:r>
          </w:p>
        </w:tc>
        <w:tc>
          <w:tcPr>
            <w:tcW w:w="610" w:type="pct"/>
            <w:tcBorders>
              <w:top w:val="nil"/>
              <w:left w:val="nil"/>
              <w:bottom w:val="single" w:sz="4" w:space="0" w:color="auto"/>
              <w:right w:val="single" w:sz="4" w:space="0" w:color="auto"/>
            </w:tcBorders>
            <w:shd w:val="clear" w:color="000000" w:fill="FFFFFF"/>
            <w:noWrap/>
            <w:vAlign w:val="center"/>
            <w:hideMark/>
          </w:tcPr>
          <w:p w14:paraId="10230657" w14:textId="2688D804" w:rsidR="00EC2495" w:rsidRPr="00577DAA" w:rsidRDefault="00EC2495" w:rsidP="00EC2495">
            <w:pPr>
              <w:jc w:val="center"/>
              <w:rPr>
                <w:rFonts w:cs="Calibri"/>
                <w:color w:val="172B4D"/>
              </w:rPr>
            </w:pPr>
            <w:r w:rsidRPr="00577DAA">
              <w:rPr>
                <w:rFonts w:cs="Calibri"/>
                <w:color w:val="172B4D"/>
              </w:rPr>
              <w:t>1</w:t>
            </w:r>
            <w:r w:rsidR="00641F94">
              <w:rPr>
                <w:rFonts w:cs="Calibri"/>
                <w:color w:val="172B4D"/>
              </w:rPr>
              <w:t>.</w:t>
            </w:r>
            <w:r w:rsidRPr="00577DAA">
              <w:rPr>
                <w:rFonts w:cs="Calibri"/>
                <w:color w:val="172B4D"/>
              </w:rPr>
              <w:t>1</w:t>
            </w:r>
          </w:p>
        </w:tc>
      </w:tr>
      <w:tr w:rsidR="00EC2495" w:rsidRPr="009243B7" w14:paraId="06CF364C" w14:textId="77777777" w:rsidTr="00EC2495">
        <w:trPr>
          <w:trHeight w:val="375"/>
        </w:trPr>
        <w:tc>
          <w:tcPr>
            <w:tcW w:w="1337" w:type="pct"/>
            <w:tcBorders>
              <w:top w:val="nil"/>
              <w:left w:val="single" w:sz="4" w:space="0" w:color="auto"/>
              <w:bottom w:val="single" w:sz="4" w:space="0" w:color="auto"/>
              <w:right w:val="single" w:sz="4" w:space="0" w:color="auto"/>
            </w:tcBorders>
            <w:shd w:val="clear" w:color="000000" w:fill="FFFFFF"/>
            <w:vAlign w:val="center"/>
            <w:hideMark/>
          </w:tcPr>
          <w:p w14:paraId="456861AE"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Islands</w:t>
            </w:r>
          </w:p>
        </w:tc>
        <w:tc>
          <w:tcPr>
            <w:tcW w:w="610" w:type="pct"/>
            <w:tcBorders>
              <w:top w:val="nil"/>
              <w:left w:val="nil"/>
              <w:bottom w:val="single" w:sz="4" w:space="0" w:color="auto"/>
              <w:right w:val="single" w:sz="4" w:space="0" w:color="auto"/>
            </w:tcBorders>
            <w:shd w:val="clear" w:color="000000" w:fill="FFFFFF"/>
            <w:noWrap/>
            <w:vAlign w:val="center"/>
            <w:hideMark/>
          </w:tcPr>
          <w:p w14:paraId="50783AFC" w14:textId="59A6CB16" w:rsidR="00EC2495" w:rsidRPr="00577DAA" w:rsidRDefault="00EC2495" w:rsidP="00EC2495">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5</w:t>
            </w:r>
          </w:p>
        </w:tc>
        <w:tc>
          <w:tcPr>
            <w:tcW w:w="610" w:type="pct"/>
            <w:tcBorders>
              <w:top w:val="nil"/>
              <w:left w:val="nil"/>
              <w:bottom w:val="single" w:sz="4" w:space="0" w:color="auto"/>
              <w:right w:val="single" w:sz="4" w:space="0" w:color="auto"/>
            </w:tcBorders>
            <w:shd w:val="clear" w:color="000000" w:fill="FFFFFF"/>
            <w:noWrap/>
            <w:vAlign w:val="center"/>
            <w:hideMark/>
          </w:tcPr>
          <w:p w14:paraId="2F7BA92B" w14:textId="56F71C07" w:rsidR="00EC2495" w:rsidRPr="00577DAA" w:rsidRDefault="00EC2495" w:rsidP="00EC2495">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6</w:t>
            </w:r>
          </w:p>
        </w:tc>
        <w:tc>
          <w:tcPr>
            <w:tcW w:w="610" w:type="pct"/>
            <w:tcBorders>
              <w:top w:val="nil"/>
              <w:left w:val="nil"/>
              <w:bottom w:val="single" w:sz="4" w:space="0" w:color="auto"/>
              <w:right w:val="single" w:sz="4" w:space="0" w:color="auto"/>
            </w:tcBorders>
            <w:shd w:val="clear" w:color="000000" w:fill="FFFFFF"/>
            <w:noWrap/>
            <w:vAlign w:val="center"/>
            <w:hideMark/>
          </w:tcPr>
          <w:p w14:paraId="3615A55F" w14:textId="1AAC8EE6" w:rsidR="00EC2495" w:rsidRPr="00577DAA" w:rsidRDefault="00EC2495" w:rsidP="00EC2495">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8</w:t>
            </w:r>
          </w:p>
        </w:tc>
        <w:tc>
          <w:tcPr>
            <w:tcW w:w="610" w:type="pct"/>
            <w:tcBorders>
              <w:top w:val="nil"/>
              <w:left w:val="nil"/>
              <w:bottom w:val="single" w:sz="4" w:space="0" w:color="auto"/>
              <w:right w:val="single" w:sz="4" w:space="0" w:color="auto"/>
            </w:tcBorders>
            <w:shd w:val="clear" w:color="000000" w:fill="FFFFFF"/>
            <w:noWrap/>
            <w:vAlign w:val="center"/>
            <w:hideMark/>
          </w:tcPr>
          <w:p w14:paraId="777603AD" w14:textId="43DE61D6" w:rsidR="00EC2495" w:rsidRPr="00577DAA" w:rsidRDefault="00EC2495" w:rsidP="00EC2495">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4</w:t>
            </w:r>
          </w:p>
        </w:tc>
        <w:tc>
          <w:tcPr>
            <w:tcW w:w="610" w:type="pct"/>
            <w:tcBorders>
              <w:top w:val="nil"/>
              <w:left w:val="nil"/>
              <w:bottom w:val="single" w:sz="4" w:space="0" w:color="auto"/>
              <w:right w:val="single" w:sz="4" w:space="0" w:color="auto"/>
            </w:tcBorders>
            <w:shd w:val="clear" w:color="000000" w:fill="FFFFFF"/>
            <w:noWrap/>
            <w:vAlign w:val="center"/>
            <w:hideMark/>
          </w:tcPr>
          <w:p w14:paraId="0577FFB5" w14:textId="7CB8A059" w:rsidR="00EC2495" w:rsidRPr="00577DAA" w:rsidRDefault="00EC2495" w:rsidP="00EC2495">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6</w:t>
            </w:r>
          </w:p>
        </w:tc>
        <w:tc>
          <w:tcPr>
            <w:tcW w:w="610" w:type="pct"/>
            <w:tcBorders>
              <w:top w:val="nil"/>
              <w:left w:val="nil"/>
              <w:bottom w:val="single" w:sz="4" w:space="0" w:color="auto"/>
              <w:right w:val="single" w:sz="4" w:space="0" w:color="auto"/>
            </w:tcBorders>
            <w:shd w:val="clear" w:color="000000" w:fill="FFFFFF"/>
            <w:noWrap/>
            <w:vAlign w:val="center"/>
            <w:hideMark/>
          </w:tcPr>
          <w:p w14:paraId="67997FF8" w14:textId="767E03AC" w:rsidR="00EC2495" w:rsidRPr="00577DAA" w:rsidRDefault="00EC2495" w:rsidP="00EC2495">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6</w:t>
            </w:r>
          </w:p>
        </w:tc>
      </w:tr>
      <w:tr w:rsidR="00EC2495" w:rsidRPr="009243B7" w14:paraId="7BACAD07" w14:textId="77777777" w:rsidTr="00EC2495">
        <w:trPr>
          <w:trHeight w:val="375"/>
        </w:trPr>
        <w:tc>
          <w:tcPr>
            <w:tcW w:w="1337" w:type="pct"/>
            <w:tcBorders>
              <w:top w:val="nil"/>
              <w:left w:val="single" w:sz="4" w:space="0" w:color="auto"/>
              <w:bottom w:val="single" w:sz="4" w:space="0" w:color="auto"/>
              <w:right w:val="single" w:sz="4" w:space="0" w:color="auto"/>
            </w:tcBorders>
            <w:shd w:val="clear" w:color="000000" w:fill="FFFFFF"/>
            <w:noWrap/>
            <w:vAlign w:val="center"/>
            <w:hideMark/>
          </w:tcPr>
          <w:p w14:paraId="5662B5FC" w14:textId="77777777" w:rsidR="00EC2495" w:rsidRPr="00577DAA" w:rsidRDefault="00EC2495" w:rsidP="00EC2495">
            <w:pPr>
              <w:spacing w:after="0" w:line="240" w:lineRule="auto"/>
              <w:rPr>
                <w:rFonts w:eastAsia="Times New Roman" w:cs="Calibri"/>
                <w:b/>
                <w:color w:val="172B4D"/>
                <w:lang w:eastAsia="it-IT"/>
              </w:rPr>
            </w:pPr>
            <w:r w:rsidRPr="00577DAA">
              <w:rPr>
                <w:rFonts w:eastAsia="Times New Roman" w:cs="Calibri"/>
                <w:b/>
                <w:color w:val="172B4D"/>
                <w:lang w:eastAsia="it-IT"/>
              </w:rPr>
              <w:t>Total</w:t>
            </w:r>
          </w:p>
        </w:tc>
        <w:tc>
          <w:tcPr>
            <w:tcW w:w="610" w:type="pct"/>
            <w:tcBorders>
              <w:top w:val="nil"/>
              <w:left w:val="nil"/>
              <w:bottom w:val="single" w:sz="4" w:space="0" w:color="auto"/>
              <w:right w:val="single" w:sz="4" w:space="0" w:color="auto"/>
            </w:tcBorders>
            <w:shd w:val="clear" w:color="000000" w:fill="FFFFFF"/>
            <w:noWrap/>
            <w:vAlign w:val="center"/>
            <w:hideMark/>
          </w:tcPr>
          <w:p w14:paraId="23EC5D1D" w14:textId="03928B1C" w:rsidR="00EC2495" w:rsidRPr="00577DAA" w:rsidRDefault="00EC2495" w:rsidP="00EC2495">
            <w:pPr>
              <w:jc w:val="center"/>
              <w:rPr>
                <w:rFonts w:cs="Calibri"/>
                <w:b/>
                <w:color w:val="172B4D"/>
              </w:rPr>
            </w:pPr>
            <w:r w:rsidRPr="00577DAA">
              <w:rPr>
                <w:rFonts w:cs="Calibri"/>
                <w:b/>
                <w:color w:val="172B4D"/>
              </w:rPr>
              <w:t>1</w:t>
            </w:r>
            <w:r w:rsidR="00641F94">
              <w:rPr>
                <w:rFonts w:cs="Calibri"/>
                <w:b/>
                <w:color w:val="172B4D"/>
              </w:rPr>
              <w:t>.</w:t>
            </w:r>
            <w:r w:rsidRPr="00577DAA">
              <w:rPr>
                <w:rFonts w:cs="Calibri"/>
                <w:b/>
                <w:color w:val="172B4D"/>
              </w:rPr>
              <w:t>2</w:t>
            </w:r>
          </w:p>
        </w:tc>
        <w:tc>
          <w:tcPr>
            <w:tcW w:w="610" w:type="pct"/>
            <w:tcBorders>
              <w:top w:val="nil"/>
              <w:left w:val="nil"/>
              <w:bottom w:val="single" w:sz="4" w:space="0" w:color="auto"/>
              <w:right w:val="single" w:sz="4" w:space="0" w:color="auto"/>
            </w:tcBorders>
            <w:shd w:val="clear" w:color="000000" w:fill="FFFFFF"/>
            <w:noWrap/>
            <w:vAlign w:val="center"/>
            <w:hideMark/>
          </w:tcPr>
          <w:p w14:paraId="3DBCEFD6" w14:textId="27849401" w:rsidR="00EC2495" w:rsidRPr="00577DAA" w:rsidRDefault="00EC2495" w:rsidP="00EC2495">
            <w:pPr>
              <w:jc w:val="center"/>
              <w:rPr>
                <w:rFonts w:cs="Calibri"/>
                <w:b/>
                <w:color w:val="172B4D"/>
              </w:rPr>
            </w:pPr>
            <w:r w:rsidRPr="00577DAA">
              <w:rPr>
                <w:rFonts w:cs="Calibri"/>
                <w:b/>
                <w:color w:val="172B4D"/>
              </w:rPr>
              <w:t>1</w:t>
            </w:r>
            <w:r w:rsidR="00641F94">
              <w:rPr>
                <w:rFonts w:cs="Calibri"/>
                <w:b/>
                <w:color w:val="172B4D"/>
              </w:rPr>
              <w:t>.</w:t>
            </w:r>
            <w:r w:rsidRPr="00577DAA">
              <w:rPr>
                <w:rFonts w:cs="Calibri"/>
                <w:b/>
                <w:color w:val="172B4D"/>
              </w:rPr>
              <w:t>4</w:t>
            </w:r>
          </w:p>
        </w:tc>
        <w:tc>
          <w:tcPr>
            <w:tcW w:w="610" w:type="pct"/>
            <w:tcBorders>
              <w:top w:val="nil"/>
              <w:left w:val="nil"/>
              <w:bottom w:val="single" w:sz="4" w:space="0" w:color="auto"/>
              <w:right w:val="single" w:sz="4" w:space="0" w:color="auto"/>
            </w:tcBorders>
            <w:shd w:val="clear" w:color="000000" w:fill="FFFFFF"/>
            <w:noWrap/>
            <w:vAlign w:val="center"/>
            <w:hideMark/>
          </w:tcPr>
          <w:p w14:paraId="1449B777" w14:textId="2BBD6F07" w:rsidR="00EC2495" w:rsidRPr="00577DAA" w:rsidRDefault="00EC2495" w:rsidP="00EC2495">
            <w:pPr>
              <w:jc w:val="center"/>
              <w:rPr>
                <w:rFonts w:cs="Calibri"/>
                <w:b/>
                <w:color w:val="172B4D"/>
              </w:rPr>
            </w:pPr>
            <w:r w:rsidRPr="00577DAA">
              <w:rPr>
                <w:rFonts w:cs="Calibri"/>
                <w:b/>
                <w:color w:val="172B4D"/>
              </w:rPr>
              <w:t>2</w:t>
            </w:r>
            <w:r w:rsidR="00641F94">
              <w:rPr>
                <w:rFonts w:cs="Calibri"/>
                <w:b/>
                <w:color w:val="172B4D"/>
              </w:rPr>
              <w:t>.</w:t>
            </w:r>
            <w:r w:rsidRPr="00577DAA">
              <w:rPr>
                <w:rFonts w:cs="Calibri"/>
                <w:b/>
                <w:color w:val="172B4D"/>
              </w:rPr>
              <w:t>2</w:t>
            </w:r>
          </w:p>
        </w:tc>
        <w:tc>
          <w:tcPr>
            <w:tcW w:w="610" w:type="pct"/>
            <w:tcBorders>
              <w:top w:val="nil"/>
              <w:left w:val="nil"/>
              <w:bottom w:val="single" w:sz="4" w:space="0" w:color="auto"/>
              <w:right w:val="single" w:sz="4" w:space="0" w:color="auto"/>
            </w:tcBorders>
            <w:shd w:val="clear" w:color="000000" w:fill="FFFFFF"/>
            <w:noWrap/>
            <w:vAlign w:val="center"/>
            <w:hideMark/>
          </w:tcPr>
          <w:p w14:paraId="6B101816" w14:textId="02405EAF" w:rsidR="00EC2495" w:rsidRPr="00577DAA" w:rsidRDefault="00EC2495" w:rsidP="00EC2495">
            <w:pPr>
              <w:jc w:val="center"/>
              <w:rPr>
                <w:rFonts w:cs="Calibri"/>
                <w:b/>
                <w:color w:val="172B4D"/>
              </w:rPr>
            </w:pPr>
            <w:r w:rsidRPr="00577DAA">
              <w:rPr>
                <w:rFonts w:cs="Calibri"/>
                <w:b/>
                <w:color w:val="172B4D"/>
              </w:rPr>
              <w:t>1</w:t>
            </w:r>
            <w:r w:rsidR="00641F94">
              <w:rPr>
                <w:rFonts w:cs="Calibri"/>
                <w:b/>
                <w:color w:val="172B4D"/>
              </w:rPr>
              <w:t>.</w:t>
            </w:r>
            <w:r w:rsidRPr="00577DAA">
              <w:rPr>
                <w:rFonts w:cs="Calibri"/>
                <w:b/>
                <w:color w:val="172B4D"/>
              </w:rPr>
              <w:t>2</w:t>
            </w:r>
          </w:p>
        </w:tc>
        <w:tc>
          <w:tcPr>
            <w:tcW w:w="610" w:type="pct"/>
            <w:tcBorders>
              <w:top w:val="nil"/>
              <w:left w:val="nil"/>
              <w:bottom w:val="single" w:sz="4" w:space="0" w:color="auto"/>
              <w:right w:val="single" w:sz="4" w:space="0" w:color="auto"/>
            </w:tcBorders>
            <w:shd w:val="clear" w:color="000000" w:fill="FFFFFF"/>
            <w:noWrap/>
            <w:vAlign w:val="center"/>
            <w:hideMark/>
          </w:tcPr>
          <w:p w14:paraId="6378E53F" w14:textId="2B258D57" w:rsidR="00EC2495" w:rsidRPr="00577DAA" w:rsidRDefault="00EC2495" w:rsidP="00EC2495">
            <w:pPr>
              <w:jc w:val="center"/>
              <w:rPr>
                <w:rFonts w:cs="Calibri"/>
                <w:b/>
                <w:color w:val="172B4D"/>
              </w:rPr>
            </w:pPr>
            <w:r w:rsidRPr="00577DAA">
              <w:rPr>
                <w:rFonts w:cs="Calibri"/>
                <w:b/>
                <w:color w:val="172B4D"/>
              </w:rPr>
              <w:t>1</w:t>
            </w:r>
            <w:r w:rsidR="00641F94">
              <w:rPr>
                <w:rFonts w:cs="Calibri"/>
                <w:b/>
                <w:color w:val="172B4D"/>
              </w:rPr>
              <w:t>.</w:t>
            </w:r>
            <w:r w:rsidRPr="00577DAA">
              <w:rPr>
                <w:rFonts w:cs="Calibri"/>
                <w:b/>
                <w:color w:val="172B4D"/>
              </w:rPr>
              <w:t>6</w:t>
            </w:r>
          </w:p>
        </w:tc>
        <w:tc>
          <w:tcPr>
            <w:tcW w:w="610" w:type="pct"/>
            <w:tcBorders>
              <w:top w:val="nil"/>
              <w:left w:val="nil"/>
              <w:bottom w:val="single" w:sz="4" w:space="0" w:color="auto"/>
              <w:right w:val="single" w:sz="4" w:space="0" w:color="auto"/>
            </w:tcBorders>
            <w:shd w:val="clear" w:color="000000" w:fill="FFFFFF"/>
            <w:noWrap/>
            <w:vAlign w:val="center"/>
            <w:hideMark/>
          </w:tcPr>
          <w:p w14:paraId="2FFF9966" w14:textId="1331881D" w:rsidR="00EC2495" w:rsidRPr="00577DAA" w:rsidRDefault="00EC2495" w:rsidP="00EC2495">
            <w:pPr>
              <w:jc w:val="center"/>
              <w:rPr>
                <w:rFonts w:cs="Calibri"/>
                <w:b/>
                <w:color w:val="172B4D"/>
              </w:rPr>
            </w:pPr>
            <w:r w:rsidRPr="00577DAA">
              <w:rPr>
                <w:rFonts w:cs="Calibri"/>
                <w:b/>
                <w:color w:val="172B4D"/>
              </w:rPr>
              <w:t>2</w:t>
            </w:r>
            <w:r w:rsidR="00641F94">
              <w:rPr>
                <w:rFonts w:cs="Calibri"/>
                <w:b/>
                <w:color w:val="172B4D"/>
              </w:rPr>
              <w:t>.</w:t>
            </w:r>
            <w:r w:rsidRPr="00577DAA">
              <w:rPr>
                <w:rFonts w:cs="Calibri"/>
                <w:b/>
                <w:color w:val="172B4D"/>
              </w:rPr>
              <w:t>0</w:t>
            </w:r>
          </w:p>
        </w:tc>
      </w:tr>
    </w:tbl>
    <w:p w14:paraId="50642A2E" w14:textId="77777777" w:rsidR="00615208" w:rsidRDefault="00615208" w:rsidP="00EC2495">
      <w:pPr>
        <w:rPr>
          <w:i/>
          <w:iCs/>
          <w:color w:val="44546A" w:themeColor="text2"/>
          <w:sz w:val="18"/>
          <w:szCs w:val="18"/>
          <w:lang w:val="en-GB"/>
        </w:rPr>
      </w:pPr>
    </w:p>
    <w:p w14:paraId="28C948E3" w14:textId="77777777" w:rsidR="00615208" w:rsidRDefault="00615208" w:rsidP="00EC2495">
      <w:pPr>
        <w:rPr>
          <w:i/>
          <w:iCs/>
          <w:color w:val="44546A" w:themeColor="text2"/>
          <w:sz w:val="18"/>
          <w:szCs w:val="18"/>
          <w:lang w:val="en-GB"/>
        </w:rPr>
      </w:pPr>
    </w:p>
    <w:p w14:paraId="07986719" w14:textId="77777777" w:rsidR="00615208" w:rsidRDefault="00615208" w:rsidP="00EC2495">
      <w:pPr>
        <w:rPr>
          <w:i/>
          <w:iCs/>
          <w:color w:val="44546A" w:themeColor="text2"/>
          <w:sz w:val="18"/>
          <w:szCs w:val="18"/>
          <w:lang w:val="en-GB"/>
        </w:rPr>
      </w:pPr>
    </w:p>
    <w:p w14:paraId="41C0CA3F" w14:textId="77777777" w:rsidR="00615208" w:rsidRDefault="00615208" w:rsidP="00EC2495">
      <w:pPr>
        <w:rPr>
          <w:i/>
          <w:iCs/>
          <w:color w:val="44546A" w:themeColor="text2"/>
          <w:sz w:val="18"/>
          <w:szCs w:val="18"/>
          <w:lang w:val="en-GB"/>
        </w:rPr>
      </w:pPr>
    </w:p>
    <w:p w14:paraId="18BDCE26" w14:textId="77777777" w:rsidR="00615208" w:rsidRDefault="00615208" w:rsidP="00EC2495">
      <w:pPr>
        <w:rPr>
          <w:i/>
          <w:iCs/>
          <w:color w:val="44546A" w:themeColor="text2"/>
          <w:sz w:val="18"/>
          <w:szCs w:val="18"/>
          <w:lang w:val="en-GB"/>
        </w:rPr>
      </w:pPr>
    </w:p>
    <w:p w14:paraId="2B2E069B" w14:textId="3DD0746D" w:rsidR="00EC2495" w:rsidRPr="00666966" w:rsidRDefault="00EC2495" w:rsidP="00EC2495">
      <w:pPr>
        <w:rPr>
          <w:i/>
          <w:iCs/>
          <w:color w:val="44546A" w:themeColor="text2"/>
          <w:sz w:val="18"/>
          <w:szCs w:val="18"/>
          <w:lang w:val="en-GB"/>
        </w:rPr>
      </w:pPr>
      <w:r w:rsidRPr="00666966">
        <w:rPr>
          <w:i/>
          <w:iCs/>
          <w:color w:val="44546A" w:themeColor="text2"/>
          <w:sz w:val="18"/>
          <w:szCs w:val="18"/>
          <w:lang w:val="en-GB"/>
        </w:rPr>
        <w:lastRenderedPageBreak/>
        <w:t>Table 7:</w:t>
      </w:r>
      <w:r>
        <w:rPr>
          <w:i/>
          <w:iCs/>
          <w:color w:val="44546A" w:themeColor="text2"/>
          <w:sz w:val="18"/>
          <w:szCs w:val="18"/>
          <w:lang w:val="en-GB"/>
        </w:rPr>
        <w:t xml:space="preserve"> </w:t>
      </w:r>
      <w:r w:rsidRPr="00666966">
        <w:rPr>
          <w:i/>
          <w:iCs/>
          <w:color w:val="44546A" w:themeColor="text2"/>
          <w:sz w:val="18"/>
          <w:szCs w:val="18"/>
          <w:lang w:val="en-GB"/>
        </w:rPr>
        <w:t>Italia</w:t>
      </w:r>
      <w:r>
        <w:rPr>
          <w:i/>
          <w:iCs/>
          <w:color w:val="44546A" w:themeColor="text2"/>
          <w:sz w:val="18"/>
          <w:szCs w:val="18"/>
          <w:lang w:val="en-GB"/>
        </w:rPr>
        <w:t>n OJAr year on year differences</w:t>
      </w:r>
      <w:r w:rsidRPr="00666966">
        <w:rPr>
          <w:i/>
          <w:iCs/>
          <w:color w:val="44546A" w:themeColor="text2"/>
          <w:sz w:val="18"/>
          <w:szCs w:val="18"/>
          <w:lang w:val="en-GB"/>
        </w:rPr>
        <w:t xml:space="preserve"> by </w:t>
      </w:r>
      <w:r w:rsidRPr="00021980">
        <w:rPr>
          <w:i/>
          <w:iCs/>
          <w:color w:val="44546A" w:themeColor="text2"/>
          <w:sz w:val="18"/>
          <w:szCs w:val="18"/>
          <w:lang w:val="en-GB"/>
        </w:rPr>
        <w:t>geographical area</w:t>
      </w:r>
    </w:p>
    <w:tbl>
      <w:tblPr>
        <w:tblW w:w="7040" w:type="dxa"/>
        <w:tblCellMar>
          <w:left w:w="70" w:type="dxa"/>
          <w:right w:w="70" w:type="dxa"/>
        </w:tblCellMar>
        <w:tblLook w:val="04A0" w:firstRow="1" w:lastRow="0" w:firstColumn="1" w:lastColumn="0" w:noHBand="0" w:noVBand="1"/>
      </w:tblPr>
      <w:tblGrid>
        <w:gridCol w:w="3680"/>
        <w:gridCol w:w="1680"/>
        <w:gridCol w:w="1680"/>
      </w:tblGrid>
      <w:tr w:rsidR="00577DAA" w:rsidRPr="00577DAA" w14:paraId="6AF40E94" w14:textId="77777777" w:rsidTr="00577DAA">
        <w:trPr>
          <w:trHeight w:val="591"/>
        </w:trPr>
        <w:tc>
          <w:tcPr>
            <w:tcW w:w="36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C02D8B" w14:textId="77777777" w:rsidR="00577DAA" w:rsidRPr="00577DAA" w:rsidRDefault="00577DAA" w:rsidP="00577DAA">
            <w:pPr>
              <w:jc w:val="both"/>
              <w:rPr>
                <w:rFonts w:ascii="Segoe UI" w:hAnsi="Segoe UI" w:cs="Segoe UI"/>
                <w:b/>
                <w:color w:val="172B4D"/>
                <w:sz w:val="21"/>
                <w:szCs w:val="21"/>
                <w:lang w:val="en-US"/>
              </w:rPr>
            </w:pPr>
            <w:r w:rsidRPr="00577DAA">
              <w:rPr>
                <w:rFonts w:ascii="Segoe UI" w:hAnsi="Segoe UI" w:cs="Segoe UI"/>
                <w:b/>
                <w:color w:val="172B4D"/>
                <w:sz w:val="21"/>
                <w:szCs w:val="21"/>
                <w:lang w:val="en-US"/>
              </w:rPr>
              <w:t>Geographical area</w:t>
            </w:r>
          </w:p>
        </w:tc>
        <w:tc>
          <w:tcPr>
            <w:tcW w:w="168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AA0010B" w14:textId="310389EB" w:rsidR="00577DAA" w:rsidRPr="00577DAA" w:rsidRDefault="00577DAA" w:rsidP="00577DAA">
            <w:pPr>
              <w:jc w:val="both"/>
              <w:rPr>
                <w:rFonts w:ascii="Segoe UI" w:hAnsi="Segoe UI" w:cs="Segoe UI"/>
                <w:b/>
                <w:color w:val="172B4D"/>
                <w:sz w:val="21"/>
                <w:szCs w:val="21"/>
                <w:lang w:val="en-US"/>
              </w:rPr>
            </w:pPr>
            <w:r w:rsidRPr="00A60CF3">
              <w:rPr>
                <w:rFonts w:ascii="Segoe UI" w:hAnsi="Segoe UI" w:cs="Segoe UI"/>
                <w:b/>
                <w:color w:val="172B4D"/>
                <w:sz w:val="21"/>
                <w:szCs w:val="21"/>
                <w:u w:val="single"/>
                <w:lang w:val="en-US"/>
              </w:rPr>
              <w:t>Q32019</w:t>
            </w:r>
            <w:r w:rsidRPr="00A60CF3">
              <w:rPr>
                <w:rFonts w:ascii="Segoe UI" w:hAnsi="Segoe UI" w:cs="Segoe UI"/>
                <w:b/>
                <w:color w:val="172B4D"/>
                <w:sz w:val="21"/>
                <w:szCs w:val="21"/>
                <w:u w:val="single"/>
                <w:lang w:val="en-US"/>
              </w:rPr>
              <w:br/>
            </w:r>
            <w:r w:rsidRPr="00A60CF3">
              <w:rPr>
                <w:rFonts w:ascii="Segoe UI" w:hAnsi="Segoe UI" w:cs="Segoe UI"/>
                <w:b/>
                <w:color w:val="172B4D"/>
                <w:sz w:val="21"/>
                <w:szCs w:val="21"/>
                <w:lang w:val="en-US"/>
              </w:rPr>
              <w:t>Q32018</w:t>
            </w:r>
          </w:p>
        </w:tc>
        <w:tc>
          <w:tcPr>
            <w:tcW w:w="168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754CAC7" w14:textId="691CF3E7" w:rsidR="00577DAA" w:rsidRPr="00577DAA" w:rsidRDefault="00577DAA" w:rsidP="00577DAA">
            <w:pPr>
              <w:jc w:val="both"/>
              <w:rPr>
                <w:rFonts w:ascii="Segoe UI" w:hAnsi="Segoe UI" w:cs="Segoe UI"/>
                <w:b/>
                <w:color w:val="172B4D"/>
                <w:sz w:val="21"/>
                <w:szCs w:val="21"/>
                <w:lang w:val="en-US"/>
              </w:rPr>
            </w:pPr>
            <w:r w:rsidRPr="00A60CF3">
              <w:rPr>
                <w:rFonts w:ascii="Segoe UI" w:hAnsi="Segoe UI" w:cs="Segoe UI"/>
                <w:b/>
                <w:color w:val="172B4D"/>
                <w:sz w:val="21"/>
                <w:szCs w:val="21"/>
                <w:u w:val="single"/>
                <w:lang w:val="en-US"/>
              </w:rPr>
              <w:t>Q42019</w:t>
            </w:r>
            <w:r w:rsidRPr="00A60CF3">
              <w:rPr>
                <w:rFonts w:ascii="Segoe UI" w:hAnsi="Segoe UI" w:cs="Segoe UI"/>
                <w:b/>
                <w:color w:val="172B4D"/>
                <w:sz w:val="21"/>
                <w:szCs w:val="21"/>
                <w:u w:val="single"/>
                <w:lang w:val="en-US"/>
              </w:rPr>
              <w:br/>
            </w:r>
            <w:r w:rsidRPr="00A60CF3">
              <w:rPr>
                <w:rFonts w:ascii="Segoe UI" w:hAnsi="Segoe UI" w:cs="Segoe UI"/>
                <w:b/>
                <w:color w:val="172B4D"/>
                <w:sz w:val="21"/>
                <w:szCs w:val="21"/>
                <w:lang w:val="en-US"/>
              </w:rPr>
              <w:t>Q42018</w:t>
            </w:r>
          </w:p>
        </w:tc>
      </w:tr>
      <w:tr w:rsidR="00EC2495" w:rsidRPr="00666966" w14:paraId="504892AB" w14:textId="77777777" w:rsidTr="00EC2495">
        <w:trPr>
          <w:trHeight w:val="375"/>
        </w:trPr>
        <w:tc>
          <w:tcPr>
            <w:tcW w:w="3680" w:type="dxa"/>
            <w:tcBorders>
              <w:top w:val="nil"/>
              <w:left w:val="single" w:sz="4" w:space="0" w:color="auto"/>
              <w:bottom w:val="single" w:sz="4" w:space="0" w:color="auto"/>
              <w:right w:val="single" w:sz="4" w:space="0" w:color="auto"/>
            </w:tcBorders>
            <w:shd w:val="clear" w:color="000000" w:fill="FFFFFF"/>
            <w:vAlign w:val="center"/>
            <w:hideMark/>
          </w:tcPr>
          <w:p w14:paraId="2FE03F40"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North - West</w:t>
            </w:r>
          </w:p>
        </w:tc>
        <w:tc>
          <w:tcPr>
            <w:tcW w:w="1680" w:type="dxa"/>
            <w:tcBorders>
              <w:top w:val="nil"/>
              <w:left w:val="nil"/>
              <w:bottom w:val="single" w:sz="4" w:space="0" w:color="auto"/>
              <w:right w:val="single" w:sz="4" w:space="0" w:color="auto"/>
            </w:tcBorders>
            <w:shd w:val="clear" w:color="000000" w:fill="FFFFFF"/>
            <w:noWrap/>
            <w:vAlign w:val="center"/>
            <w:hideMark/>
          </w:tcPr>
          <w:p w14:paraId="48E73AEA" w14:textId="76644E7E" w:rsidR="00EC2495" w:rsidRPr="00577DAA" w:rsidRDefault="00EC2495" w:rsidP="00921DB8">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6</w:t>
            </w:r>
          </w:p>
        </w:tc>
        <w:tc>
          <w:tcPr>
            <w:tcW w:w="1680" w:type="dxa"/>
            <w:tcBorders>
              <w:top w:val="nil"/>
              <w:left w:val="nil"/>
              <w:bottom w:val="single" w:sz="4" w:space="0" w:color="auto"/>
              <w:right w:val="single" w:sz="4" w:space="0" w:color="auto"/>
            </w:tcBorders>
            <w:shd w:val="clear" w:color="000000" w:fill="FFFFFF"/>
            <w:noWrap/>
            <w:vAlign w:val="center"/>
            <w:hideMark/>
          </w:tcPr>
          <w:p w14:paraId="69CBF37B" w14:textId="66339B9A" w:rsidR="00EC2495" w:rsidRPr="00577DAA" w:rsidRDefault="00EC2495" w:rsidP="00921DB8">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8</w:t>
            </w:r>
          </w:p>
        </w:tc>
      </w:tr>
      <w:tr w:rsidR="00EC2495" w:rsidRPr="00666966" w14:paraId="3773BA98" w14:textId="77777777" w:rsidTr="00EC2495">
        <w:trPr>
          <w:trHeight w:val="375"/>
        </w:trPr>
        <w:tc>
          <w:tcPr>
            <w:tcW w:w="3680" w:type="dxa"/>
            <w:tcBorders>
              <w:top w:val="nil"/>
              <w:left w:val="single" w:sz="4" w:space="0" w:color="auto"/>
              <w:bottom w:val="single" w:sz="4" w:space="0" w:color="auto"/>
              <w:right w:val="single" w:sz="4" w:space="0" w:color="auto"/>
            </w:tcBorders>
            <w:shd w:val="clear" w:color="000000" w:fill="FFFFFF"/>
            <w:vAlign w:val="center"/>
            <w:hideMark/>
          </w:tcPr>
          <w:p w14:paraId="0B2F93EC"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North - East</w:t>
            </w:r>
          </w:p>
        </w:tc>
        <w:tc>
          <w:tcPr>
            <w:tcW w:w="1680" w:type="dxa"/>
            <w:tcBorders>
              <w:top w:val="nil"/>
              <w:left w:val="nil"/>
              <w:bottom w:val="single" w:sz="4" w:space="0" w:color="auto"/>
              <w:right w:val="single" w:sz="4" w:space="0" w:color="auto"/>
            </w:tcBorders>
            <w:shd w:val="clear" w:color="000000" w:fill="FFFFFF"/>
            <w:noWrap/>
            <w:vAlign w:val="center"/>
            <w:hideMark/>
          </w:tcPr>
          <w:p w14:paraId="3B4A8A7E" w14:textId="4BDACB51" w:rsidR="00EC2495" w:rsidRPr="00577DAA" w:rsidRDefault="00EC2495" w:rsidP="00921DB8">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5</w:t>
            </w:r>
          </w:p>
        </w:tc>
        <w:tc>
          <w:tcPr>
            <w:tcW w:w="1680" w:type="dxa"/>
            <w:tcBorders>
              <w:top w:val="nil"/>
              <w:left w:val="nil"/>
              <w:bottom w:val="single" w:sz="4" w:space="0" w:color="auto"/>
              <w:right w:val="single" w:sz="4" w:space="0" w:color="auto"/>
            </w:tcBorders>
            <w:shd w:val="clear" w:color="000000" w:fill="FFFFFF"/>
            <w:noWrap/>
            <w:vAlign w:val="center"/>
            <w:hideMark/>
          </w:tcPr>
          <w:p w14:paraId="35AFE1BC" w14:textId="335E9A04" w:rsidR="00EC2495" w:rsidRPr="00577DAA" w:rsidRDefault="00EC2495" w:rsidP="00921DB8">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7</w:t>
            </w:r>
          </w:p>
        </w:tc>
      </w:tr>
      <w:tr w:rsidR="00EC2495" w:rsidRPr="00666966" w14:paraId="439CAB14" w14:textId="77777777" w:rsidTr="00EC2495">
        <w:trPr>
          <w:trHeight w:val="375"/>
        </w:trPr>
        <w:tc>
          <w:tcPr>
            <w:tcW w:w="3680" w:type="dxa"/>
            <w:tcBorders>
              <w:top w:val="nil"/>
              <w:left w:val="single" w:sz="4" w:space="0" w:color="auto"/>
              <w:bottom w:val="single" w:sz="4" w:space="0" w:color="auto"/>
              <w:right w:val="single" w:sz="4" w:space="0" w:color="auto"/>
            </w:tcBorders>
            <w:shd w:val="clear" w:color="000000" w:fill="FFFFFF"/>
            <w:vAlign w:val="center"/>
            <w:hideMark/>
          </w:tcPr>
          <w:p w14:paraId="6DCA3621"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Centre</w:t>
            </w:r>
          </w:p>
        </w:tc>
        <w:tc>
          <w:tcPr>
            <w:tcW w:w="1680" w:type="dxa"/>
            <w:tcBorders>
              <w:top w:val="nil"/>
              <w:left w:val="nil"/>
              <w:bottom w:val="single" w:sz="4" w:space="0" w:color="auto"/>
              <w:right w:val="single" w:sz="4" w:space="0" w:color="auto"/>
            </w:tcBorders>
            <w:shd w:val="clear" w:color="000000" w:fill="FFFFFF"/>
            <w:noWrap/>
            <w:vAlign w:val="center"/>
            <w:hideMark/>
          </w:tcPr>
          <w:p w14:paraId="018B72D3" w14:textId="7F0BD6AD" w:rsidR="00EC2495" w:rsidRPr="00577DAA" w:rsidRDefault="00EC2495" w:rsidP="00921DB8">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3</w:t>
            </w:r>
          </w:p>
        </w:tc>
        <w:tc>
          <w:tcPr>
            <w:tcW w:w="1680" w:type="dxa"/>
            <w:tcBorders>
              <w:top w:val="nil"/>
              <w:left w:val="nil"/>
              <w:bottom w:val="single" w:sz="4" w:space="0" w:color="auto"/>
              <w:right w:val="single" w:sz="4" w:space="0" w:color="auto"/>
            </w:tcBorders>
            <w:shd w:val="clear" w:color="000000" w:fill="FFFFFF"/>
            <w:noWrap/>
            <w:vAlign w:val="center"/>
            <w:hideMark/>
          </w:tcPr>
          <w:p w14:paraId="5DC0AC3E" w14:textId="660EAA73" w:rsidR="00EC2495" w:rsidRPr="00577DAA" w:rsidRDefault="00EC2495" w:rsidP="00921DB8">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5</w:t>
            </w:r>
          </w:p>
        </w:tc>
      </w:tr>
      <w:tr w:rsidR="00EC2495" w:rsidRPr="00666966" w14:paraId="764FC248" w14:textId="77777777" w:rsidTr="00EC2495">
        <w:trPr>
          <w:trHeight w:val="375"/>
        </w:trPr>
        <w:tc>
          <w:tcPr>
            <w:tcW w:w="3680" w:type="dxa"/>
            <w:tcBorders>
              <w:top w:val="nil"/>
              <w:left w:val="single" w:sz="4" w:space="0" w:color="auto"/>
              <w:bottom w:val="single" w:sz="4" w:space="0" w:color="auto"/>
              <w:right w:val="single" w:sz="4" w:space="0" w:color="auto"/>
            </w:tcBorders>
            <w:shd w:val="clear" w:color="000000" w:fill="FFFFFF"/>
            <w:vAlign w:val="center"/>
            <w:hideMark/>
          </w:tcPr>
          <w:p w14:paraId="6C5BFA6D"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South</w:t>
            </w:r>
          </w:p>
        </w:tc>
        <w:tc>
          <w:tcPr>
            <w:tcW w:w="1680" w:type="dxa"/>
            <w:tcBorders>
              <w:top w:val="nil"/>
              <w:left w:val="nil"/>
              <w:bottom w:val="single" w:sz="4" w:space="0" w:color="auto"/>
              <w:right w:val="single" w:sz="4" w:space="0" w:color="auto"/>
            </w:tcBorders>
            <w:shd w:val="clear" w:color="000000" w:fill="FFFFFF"/>
            <w:noWrap/>
            <w:vAlign w:val="center"/>
            <w:hideMark/>
          </w:tcPr>
          <w:p w14:paraId="1FA31179" w14:textId="3CCA39CC" w:rsidR="00EC2495" w:rsidRPr="00577DAA" w:rsidRDefault="00EC2495" w:rsidP="00921DB8">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1</w:t>
            </w:r>
          </w:p>
        </w:tc>
        <w:tc>
          <w:tcPr>
            <w:tcW w:w="1680" w:type="dxa"/>
            <w:tcBorders>
              <w:top w:val="nil"/>
              <w:left w:val="nil"/>
              <w:bottom w:val="single" w:sz="4" w:space="0" w:color="auto"/>
              <w:right w:val="single" w:sz="4" w:space="0" w:color="auto"/>
            </w:tcBorders>
            <w:shd w:val="clear" w:color="000000" w:fill="FFFFFF"/>
            <w:noWrap/>
            <w:vAlign w:val="center"/>
            <w:hideMark/>
          </w:tcPr>
          <w:p w14:paraId="4DE21BC2" w14:textId="77679675" w:rsidR="00EC2495" w:rsidRPr="00577DAA" w:rsidRDefault="00EC2495" w:rsidP="00921DB8">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2</w:t>
            </w:r>
          </w:p>
        </w:tc>
      </w:tr>
      <w:tr w:rsidR="00EC2495" w:rsidRPr="00666966" w14:paraId="4D2159FB" w14:textId="77777777" w:rsidTr="00EC2495">
        <w:trPr>
          <w:trHeight w:val="375"/>
        </w:trPr>
        <w:tc>
          <w:tcPr>
            <w:tcW w:w="3680" w:type="dxa"/>
            <w:tcBorders>
              <w:top w:val="nil"/>
              <w:left w:val="single" w:sz="4" w:space="0" w:color="auto"/>
              <w:bottom w:val="single" w:sz="4" w:space="0" w:color="auto"/>
              <w:right w:val="single" w:sz="4" w:space="0" w:color="auto"/>
            </w:tcBorders>
            <w:shd w:val="clear" w:color="000000" w:fill="FFFFFF"/>
            <w:vAlign w:val="center"/>
            <w:hideMark/>
          </w:tcPr>
          <w:p w14:paraId="6CDD3811" w14:textId="77777777" w:rsidR="00EC2495" w:rsidRPr="00577DAA" w:rsidRDefault="00EC2495" w:rsidP="00EC2495">
            <w:pPr>
              <w:spacing w:after="0" w:line="240" w:lineRule="auto"/>
              <w:rPr>
                <w:rFonts w:eastAsia="Times New Roman" w:cs="Calibri"/>
                <w:color w:val="172B4D"/>
                <w:lang w:eastAsia="it-IT"/>
              </w:rPr>
            </w:pPr>
            <w:r w:rsidRPr="00577DAA">
              <w:rPr>
                <w:rFonts w:eastAsia="Times New Roman" w:cs="Calibri"/>
                <w:color w:val="172B4D"/>
                <w:lang w:eastAsia="it-IT"/>
              </w:rPr>
              <w:t>Islands</w:t>
            </w:r>
          </w:p>
        </w:tc>
        <w:tc>
          <w:tcPr>
            <w:tcW w:w="1680" w:type="dxa"/>
            <w:tcBorders>
              <w:top w:val="nil"/>
              <w:left w:val="nil"/>
              <w:bottom w:val="single" w:sz="4" w:space="0" w:color="auto"/>
              <w:right w:val="single" w:sz="4" w:space="0" w:color="auto"/>
            </w:tcBorders>
            <w:shd w:val="clear" w:color="000000" w:fill="FFFFFF"/>
            <w:noWrap/>
            <w:vAlign w:val="center"/>
            <w:hideMark/>
          </w:tcPr>
          <w:p w14:paraId="7DBCE460" w14:textId="21907EC8" w:rsidR="00EC2495" w:rsidRPr="00577DAA" w:rsidRDefault="00EC2495" w:rsidP="00921DB8">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1</w:t>
            </w:r>
          </w:p>
        </w:tc>
        <w:tc>
          <w:tcPr>
            <w:tcW w:w="1680" w:type="dxa"/>
            <w:tcBorders>
              <w:top w:val="nil"/>
              <w:left w:val="nil"/>
              <w:bottom w:val="single" w:sz="4" w:space="0" w:color="auto"/>
              <w:right w:val="single" w:sz="4" w:space="0" w:color="auto"/>
            </w:tcBorders>
            <w:shd w:val="clear" w:color="000000" w:fill="FFFFFF"/>
            <w:noWrap/>
            <w:vAlign w:val="center"/>
            <w:hideMark/>
          </w:tcPr>
          <w:p w14:paraId="52922EFC" w14:textId="5B2B5626" w:rsidR="00EC2495" w:rsidRPr="00577DAA" w:rsidRDefault="00EC2495" w:rsidP="00921DB8">
            <w:pPr>
              <w:jc w:val="center"/>
              <w:rPr>
                <w:rFonts w:cs="Calibri"/>
                <w:color w:val="172B4D"/>
              </w:rPr>
            </w:pPr>
            <w:r w:rsidRPr="00577DAA">
              <w:rPr>
                <w:rFonts w:cs="Calibri"/>
                <w:color w:val="172B4D"/>
              </w:rPr>
              <w:t>0</w:t>
            </w:r>
            <w:r w:rsidR="00641F94">
              <w:rPr>
                <w:rFonts w:cs="Calibri"/>
                <w:color w:val="172B4D"/>
              </w:rPr>
              <w:t>.</w:t>
            </w:r>
            <w:r w:rsidRPr="00577DAA">
              <w:rPr>
                <w:rFonts w:cs="Calibri"/>
                <w:color w:val="172B4D"/>
              </w:rPr>
              <w:t>0</w:t>
            </w:r>
          </w:p>
        </w:tc>
      </w:tr>
      <w:tr w:rsidR="00EC2495" w:rsidRPr="00666966" w14:paraId="2E403FFF" w14:textId="77777777" w:rsidTr="00EC2495">
        <w:trPr>
          <w:trHeight w:val="375"/>
        </w:trPr>
        <w:tc>
          <w:tcPr>
            <w:tcW w:w="3680" w:type="dxa"/>
            <w:tcBorders>
              <w:top w:val="nil"/>
              <w:left w:val="single" w:sz="4" w:space="0" w:color="auto"/>
              <w:bottom w:val="single" w:sz="4" w:space="0" w:color="auto"/>
              <w:right w:val="single" w:sz="4" w:space="0" w:color="auto"/>
            </w:tcBorders>
            <w:shd w:val="clear" w:color="000000" w:fill="FFFFFF"/>
            <w:vAlign w:val="center"/>
            <w:hideMark/>
          </w:tcPr>
          <w:p w14:paraId="1385C342" w14:textId="77777777" w:rsidR="00EC2495" w:rsidRPr="00577DAA" w:rsidRDefault="00EC2495" w:rsidP="00EC2495">
            <w:pPr>
              <w:spacing w:after="0" w:line="240" w:lineRule="auto"/>
              <w:rPr>
                <w:rFonts w:eastAsia="Times New Roman" w:cs="Calibri"/>
                <w:b/>
                <w:color w:val="172B4D"/>
                <w:lang w:eastAsia="it-IT"/>
              </w:rPr>
            </w:pPr>
            <w:r w:rsidRPr="00577DAA">
              <w:rPr>
                <w:rFonts w:eastAsia="Times New Roman" w:cs="Calibri"/>
                <w:b/>
                <w:color w:val="172B4D"/>
                <w:lang w:eastAsia="it-IT"/>
              </w:rPr>
              <w:t>Total</w:t>
            </w:r>
          </w:p>
        </w:tc>
        <w:tc>
          <w:tcPr>
            <w:tcW w:w="1680" w:type="dxa"/>
            <w:tcBorders>
              <w:top w:val="nil"/>
              <w:left w:val="nil"/>
              <w:bottom w:val="single" w:sz="4" w:space="0" w:color="auto"/>
              <w:right w:val="single" w:sz="4" w:space="0" w:color="auto"/>
            </w:tcBorders>
            <w:shd w:val="clear" w:color="000000" w:fill="FFFFFF"/>
            <w:noWrap/>
            <w:vAlign w:val="center"/>
            <w:hideMark/>
          </w:tcPr>
          <w:p w14:paraId="0DA082FC" w14:textId="7008651A" w:rsidR="00EC2495" w:rsidRPr="00577DAA" w:rsidRDefault="00EC2495" w:rsidP="00921DB8">
            <w:pPr>
              <w:jc w:val="center"/>
              <w:rPr>
                <w:rFonts w:cs="Calibri"/>
                <w:b/>
                <w:color w:val="172B4D"/>
              </w:rPr>
            </w:pPr>
            <w:r w:rsidRPr="00577DAA">
              <w:rPr>
                <w:rFonts w:cs="Calibri"/>
                <w:b/>
                <w:color w:val="172B4D"/>
              </w:rPr>
              <w:t>0</w:t>
            </w:r>
            <w:r w:rsidR="00641F94">
              <w:rPr>
                <w:rFonts w:cs="Calibri"/>
                <w:b/>
                <w:color w:val="172B4D"/>
              </w:rPr>
              <w:t>.</w:t>
            </w:r>
            <w:r w:rsidRPr="00577DAA">
              <w:rPr>
                <w:rFonts w:cs="Calibri"/>
                <w:b/>
                <w:color w:val="172B4D"/>
              </w:rPr>
              <w:t>4</w:t>
            </w:r>
          </w:p>
        </w:tc>
        <w:tc>
          <w:tcPr>
            <w:tcW w:w="1680" w:type="dxa"/>
            <w:tcBorders>
              <w:top w:val="nil"/>
              <w:left w:val="nil"/>
              <w:bottom w:val="single" w:sz="4" w:space="0" w:color="auto"/>
              <w:right w:val="single" w:sz="4" w:space="0" w:color="auto"/>
            </w:tcBorders>
            <w:shd w:val="clear" w:color="000000" w:fill="FFFFFF"/>
            <w:noWrap/>
            <w:vAlign w:val="center"/>
            <w:hideMark/>
          </w:tcPr>
          <w:p w14:paraId="61CDC660" w14:textId="7324F604" w:rsidR="00EC2495" w:rsidRPr="00577DAA" w:rsidRDefault="00EC2495" w:rsidP="00921DB8">
            <w:pPr>
              <w:jc w:val="center"/>
              <w:rPr>
                <w:rFonts w:cs="Calibri"/>
                <w:b/>
                <w:color w:val="172B4D"/>
              </w:rPr>
            </w:pPr>
            <w:r w:rsidRPr="00577DAA">
              <w:rPr>
                <w:rFonts w:cs="Calibri"/>
                <w:b/>
                <w:color w:val="172B4D"/>
              </w:rPr>
              <w:t>0</w:t>
            </w:r>
            <w:r w:rsidR="00641F94">
              <w:rPr>
                <w:rFonts w:cs="Calibri"/>
                <w:b/>
                <w:color w:val="172B4D"/>
              </w:rPr>
              <w:t>.</w:t>
            </w:r>
            <w:r w:rsidRPr="00577DAA">
              <w:rPr>
                <w:rFonts w:cs="Calibri"/>
                <w:b/>
                <w:color w:val="172B4D"/>
              </w:rPr>
              <w:t>5</w:t>
            </w:r>
          </w:p>
        </w:tc>
      </w:tr>
    </w:tbl>
    <w:p w14:paraId="605405FA" w14:textId="77777777" w:rsidR="00EC2495" w:rsidRDefault="00EC2495" w:rsidP="005E1BEA">
      <w:pPr>
        <w:keepNext/>
        <w:jc w:val="both"/>
        <w:rPr>
          <w:lang w:val="en-GB"/>
        </w:rPr>
      </w:pPr>
    </w:p>
    <w:sectPr w:rsidR="00EC2495" w:rsidSect="00911A6A">
      <w:headerReference w:type="default"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4F717" w14:textId="77777777" w:rsidR="005A151D" w:rsidRDefault="005A151D" w:rsidP="004771EC">
      <w:pPr>
        <w:spacing w:after="0" w:line="240" w:lineRule="auto"/>
      </w:pPr>
      <w:r>
        <w:separator/>
      </w:r>
    </w:p>
  </w:endnote>
  <w:endnote w:type="continuationSeparator" w:id="0">
    <w:p w14:paraId="22BF8F16" w14:textId="77777777" w:rsidR="005A151D" w:rsidRDefault="005A151D" w:rsidP="0047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182477"/>
      <w:docPartObj>
        <w:docPartGallery w:val="Page Numbers (Bottom of Page)"/>
        <w:docPartUnique/>
      </w:docPartObj>
    </w:sdtPr>
    <w:sdtEndPr>
      <w:rPr>
        <w:noProof/>
      </w:rPr>
    </w:sdtEndPr>
    <w:sdtContent>
      <w:p w14:paraId="27B5488C" w14:textId="0D9A402E" w:rsidR="003C565B" w:rsidRDefault="003C565B">
        <w:pPr>
          <w:pStyle w:val="Pidipagina"/>
          <w:jc w:val="right"/>
        </w:pPr>
        <w:r>
          <w:fldChar w:fldCharType="begin"/>
        </w:r>
        <w:r>
          <w:instrText xml:space="preserve"> PAGE   \* MERGEFORMAT </w:instrText>
        </w:r>
        <w:r>
          <w:fldChar w:fldCharType="separate"/>
        </w:r>
        <w:r w:rsidR="006E7249">
          <w:rPr>
            <w:noProof/>
          </w:rPr>
          <w:t>6</w:t>
        </w:r>
        <w:r>
          <w:rPr>
            <w:noProof/>
          </w:rPr>
          <w:fldChar w:fldCharType="end"/>
        </w:r>
      </w:p>
    </w:sdtContent>
  </w:sdt>
  <w:p w14:paraId="336EDB01" w14:textId="77777777" w:rsidR="003C565B" w:rsidRDefault="003C565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6892D" w14:textId="77777777" w:rsidR="005A151D" w:rsidRDefault="005A151D" w:rsidP="004771EC">
      <w:pPr>
        <w:spacing w:after="0" w:line="240" w:lineRule="auto"/>
      </w:pPr>
      <w:r>
        <w:separator/>
      </w:r>
    </w:p>
  </w:footnote>
  <w:footnote w:type="continuationSeparator" w:id="0">
    <w:p w14:paraId="7A85E1D5" w14:textId="77777777" w:rsidR="005A151D" w:rsidRDefault="005A151D" w:rsidP="0047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A8D6B" w14:textId="4892DB88" w:rsidR="003C565B" w:rsidRPr="00361884" w:rsidRDefault="003C565B" w:rsidP="004771EC">
    <w:pPr>
      <w:tabs>
        <w:tab w:val="center" w:pos="4536"/>
        <w:tab w:val="right" w:pos="9072"/>
      </w:tabs>
      <w:spacing w:after="0" w:line="240" w:lineRule="auto"/>
      <w:jc w:val="right"/>
      <w:rPr>
        <w:b/>
        <w:lang w:val="bg-BG"/>
      </w:rPr>
    </w:pPr>
    <w:r>
      <w:rPr>
        <w:b/>
        <w:lang w:val="en-US"/>
      </w:rPr>
      <w:t>Version 31082020</w:t>
    </w:r>
  </w:p>
  <w:p w14:paraId="68A00920" w14:textId="77777777" w:rsidR="003C565B" w:rsidRDefault="003C565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478"/>
    <w:multiLevelType w:val="hybridMultilevel"/>
    <w:tmpl w:val="BB12317E"/>
    <w:lvl w:ilvl="0" w:tplc="E03AAE2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7372AA"/>
    <w:multiLevelType w:val="hybridMultilevel"/>
    <w:tmpl w:val="6264F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132FC"/>
    <w:multiLevelType w:val="hybridMultilevel"/>
    <w:tmpl w:val="4B0433C6"/>
    <w:lvl w:ilvl="0" w:tplc="8A58B5D8">
      <w:start w:val="1"/>
      <w:numFmt w:val="bullet"/>
      <w:lvlText w:val=""/>
      <w:lvlJc w:val="left"/>
      <w:pPr>
        <w:tabs>
          <w:tab w:val="num" w:pos="720"/>
        </w:tabs>
        <w:ind w:left="720" w:hanging="360"/>
      </w:pPr>
      <w:rPr>
        <w:rFonts w:ascii="Wingdings" w:hAnsi="Wingdings" w:hint="default"/>
      </w:rPr>
    </w:lvl>
    <w:lvl w:ilvl="1" w:tplc="C3F668E4" w:tentative="1">
      <w:start w:val="1"/>
      <w:numFmt w:val="bullet"/>
      <w:lvlText w:val=""/>
      <w:lvlJc w:val="left"/>
      <w:pPr>
        <w:tabs>
          <w:tab w:val="num" w:pos="1440"/>
        </w:tabs>
        <w:ind w:left="1440" w:hanging="360"/>
      </w:pPr>
      <w:rPr>
        <w:rFonts w:ascii="Wingdings" w:hAnsi="Wingdings" w:hint="default"/>
      </w:rPr>
    </w:lvl>
    <w:lvl w:ilvl="2" w:tplc="5F04AFC0" w:tentative="1">
      <w:start w:val="1"/>
      <w:numFmt w:val="bullet"/>
      <w:lvlText w:val=""/>
      <w:lvlJc w:val="left"/>
      <w:pPr>
        <w:tabs>
          <w:tab w:val="num" w:pos="2160"/>
        </w:tabs>
        <w:ind w:left="2160" w:hanging="360"/>
      </w:pPr>
      <w:rPr>
        <w:rFonts w:ascii="Wingdings" w:hAnsi="Wingdings" w:hint="default"/>
      </w:rPr>
    </w:lvl>
    <w:lvl w:ilvl="3" w:tplc="FE2447AE" w:tentative="1">
      <w:start w:val="1"/>
      <w:numFmt w:val="bullet"/>
      <w:lvlText w:val=""/>
      <w:lvlJc w:val="left"/>
      <w:pPr>
        <w:tabs>
          <w:tab w:val="num" w:pos="2880"/>
        </w:tabs>
        <w:ind w:left="2880" w:hanging="360"/>
      </w:pPr>
      <w:rPr>
        <w:rFonts w:ascii="Wingdings" w:hAnsi="Wingdings" w:hint="default"/>
      </w:rPr>
    </w:lvl>
    <w:lvl w:ilvl="4" w:tplc="747E769C" w:tentative="1">
      <w:start w:val="1"/>
      <w:numFmt w:val="bullet"/>
      <w:lvlText w:val=""/>
      <w:lvlJc w:val="left"/>
      <w:pPr>
        <w:tabs>
          <w:tab w:val="num" w:pos="3600"/>
        </w:tabs>
        <w:ind w:left="3600" w:hanging="360"/>
      </w:pPr>
      <w:rPr>
        <w:rFonts w:ascii="Wingdings" w:hAnsi="Wingdings" w:hint="default"/>
      </w:rPr>
    </w:lvl>
    <w:lvl w:ilvl="5" w:tplc="C6564A1A" w:tentative="1">
      <w:start w:val="1"/>
      <w:numFmt w:val="bullet"/>
      <w:lvlText w:val=""/>
      <w:lvlJc w:val="left"/>
      <w:pPr>
        <w:tabs>
          <w:tab w:val="num" w:pos="4320"/>
        </w:tabs>
        <w:ind w:left="4320" w:hanging="360"/>
      </w:pPr>
      <w:rPr>
        <w:rFonts w:ascii="Wingdings" w:hAnsi="Wingdings" w:hint="default"/>
      </w:rPr>
    </w:lvl>
    <w:lvl w:ilvl="6" w:tplc="47F4EC92" w:tentative="1">
      <w:start w:val="1"/>
      <w:numFmt w:val="bullet"/>
      <w:lvlText w:val=""/>
      <w:lvlJc w:val="left"/>
      <w:pPr>
        <w:tabs>
          <w:tab w:val="num" w:pos="5040"/>
        </w:tabs>
        <w:ind w:left="5040" w:hanging="360"/>
      </w:pPr>
      <w:rPr>
        <w:rFonts w:ascii="Wingdings" w:hAnsi="Wingdings" w:hint="default"/>
      </w:rPr>
    </w:lvl>
    <w:lvl w:ilvl="7" w:tplc="2E723C00" w:tentative="1">
      <w:start w:val="1"/>
      <w:numFmt w:val="bullet"/>
      <w:lvlText w:val=""/>
      <w:lvlJc w:val="left"/>
      <w:pPr>
        <w:tabs>
          <w:tab w:val="num" w:pos="5760"/>
        </w:tabs>
        <w:ind w:left="5760" w:hanging="360"/>
      </w:pPr>
      <w:rPr>
        <w:rFonts w:ascii="Wingdings" w:hAnsi="Wingdings" w:hint="default"/>
      </w:rPr>
    </w:lvl>
    <w:lvl w:ilvl="8" w:tplc="1C34516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5E679E"/>
    <w:multiLevelType w:val="hybridMultilevel"/>
    <w:tmpl w:val="BFC68F56"/>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C42ACB"/>
    <w:multiLevelType w:val="hybridMultilevel"/>
    <w:tmpl w:val="C3F07A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09787F37"/>
    <w:multiLevelType w:val="hybridMultilevel"/>
    <w:tmpl w:val="7048F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A23DF"/>
    <w:multiLevelType w:val="hybridMultilevel"/>
    <w:tmpl w:val="BEF41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247AB9"/>
    <w:multiLevelType w:val="hybridMultilevel"/>
    <w:tmpl w:val="A1FE3234"/>
    <w:lvl w:ilvl="0" w:tplc="09FEADD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BE399D"/>
    <w:multiLevelType w:val="hybridMultilevel"/>
    <w:tmpl w:val="6E46E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D07E7A"/>
    <w:multiLevelType w:val="hybridMultilevel"/>
    <w:tmpl w:val="D592EC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17665E3E"/>
    <w:multiLevelType w:val="hybridMultilevel"/>
    <w:tmpl w:val="36C0B686"/>
    <w:lvl w:ilvl="0" w:tplc="219A9AD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86F69"/>
    <w:multiLevelType w:val="hybridMultilevel"/>
    <w:tmpl w:val="DCE24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032BFE"/>
    <w:multiLevelType w:val="hybridMultilevel"/>
    <w:tmpl w:val="E4A2D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640C6D"/>
    <w:multiLevelType w:val="hybridMultilevel"/>
    <w:tmpl w:val="BB12317E"/>
    <w:lvl w:ilvl="0" w:tplc="E03AAE2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851B5A"/>
    <w:multiLevelType w:val="hybridMultilevel"/>
    <w:tmpl w:val="C7BCF8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8EA34A4"/>
    <w:multiLevelType w:val="hybridMultilevel"/>
    <w:tmpl w:val="58AE8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741EC9"/>
    <w:multiLevelType w:val="hybridMultilevel"/>
    <w:tmpl w:val="72CC6C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09B3E7A"/>
    <w:multiLevelType w:val="hybridMultilevel"/>
    <w:tmpl w:val="3FB09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CB7329"/>
    <w:multiLevelType w:val="hybridMultilevel"/>
    <w:tmpl w:val="DE7CFA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D304F8"/>
    <w:multiLevelType w:val="hybridMultilevel"/>
    <w:tmpl w:val="7BFE4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1721D3"/>
    <w:multiLevelType w:val="hybridMultilevel"/>
    <w:tmpl w:val="BADAE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590604"/>
    <w:multiLevelType w:val="hybridMultilevel"/>
    <w:tmpl w:val="CB507B4E"/>
    <w:lvl w:ilvl="0" w:tplc="09FEADD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A906EA"/>
    <w:multiLevelType w:val="hybridMultilevel"/>
    <w:tmpl w:val="E1BA1DF0"/>
    <w:lvl w:ilvl="0" w:tplc="09FEADD8">
      <w:numFmt w:val="bullet"/>
      <w:lvlText w:val="•"/>
      <w:lvlJc w:val="left"/>
      <w:pPr>
        <w:ind w:left="1428" w:hanging="708"/>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0F438AE"/>
    <w:multiLevelType w:val="hybridMultilevel"/>
    <w:tmpl w:val="4E06BC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E91A39"/>
    <w:multiLevelType w:val="hybridMultilevel"/>
    <w:tmpl w:val="8B9EA1BC"/>
    <w:lvl w:ilvl="0" w:tplc="0410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63494E"/>
    <w:multiLevelType w:val="hybridMultilevel"/>
    <w:tmpl w:val="107E1C8A"/>
    <w:lvl w:ilvl="0" w:tplc="E03AAE2A">
      <w:start w:val="1"/>
      <w:numFmt w:val="lowerLetter"/>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0D5738"/>
    <w:multiLevelType w:val="hybridMultilevel"/>
    <w:tmpl w:val="6FCED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A02D62"/>
    <w:multiLevelType w:val="hybridMultilevel"/>
    <w:tmpl w:val="887678C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6EF62BD5"/>
    <w:multiLevelType w:val="hybridMultilevel"/>
    <w:tmpl w:val="6AE0A750"/>
    <w:lvl w:ilvl="0" w:tplc="70E46322">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74152B90"/>
    <w:multiLevelType w:val="hybridMultilevel"/>
    <w:tmpl w:val="B7C6B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0E2D81"/>
    <w:multiLevelType w:val="hybridMultilevel"/>
    <w:tmpl w:val="E2CE887E"/>
    <w:lvl w:ilvl="0" w:tplc="0F4045BA">
      <w:start w:val="1"/>
      <w:numFmt w:val="bullet"/>
      <w:lvlText w:val=""/>
      <w:lvlJc w:val="left"/>
      <w:pPr>
        <w:tabs>
          <w:tab w:val="num" w:pos="720"/>
        </w:tabs>
        <w:ind w:left="720" w:hanging="360"/>
      </w:pPr>
      <w:rPr>
        <w:rFonts w:ascii="Symbol" w:hAnsi="Symbol" w:hint="default"/>
        <w:sz w:val="20"/>
      </w:rPr>
    </w:lvl>
    <w:lvl w:ilvl="1" w:tplc="696CC3FA" w:tentative="1">
      <w:start w:val="1"/>
      <w:numFmt w:val="bullet"/>
      <w:lvlText w:val="o"/>
      <w:lvlJc w:val="left"/>
      <w:pPr>
        <w:tabs>
          <w:tab w:val="num" w:pos="1440"/>
        </w:tabs>
        <w:ind w:left="1440" w:hanging="360"/>
      </w:pPr>
      <w:rPr>
        <w:rFonts w:ascii="Courier New" w:hAnsi="Courier New" w:hint="default"/>
        <w:sz w:val="20"/>
      </w:rPr>
    </w:lvl>
    <w:lvl w:ilvl="2" w:tplc="0370271E" w:tentative="1">
      <w:start w:val="1"/>
      <w:numFmt w:val="bullet"/>
      <w:lvlText w:val=""/>
      <w:lvlJc w:val="left"/>
      <w:pPr>
        <w:tabs>
          <w:tab w:val="num" w:pos="2160"/>
        </w:tabs>
        <w:ind w:left="2160" w:hanging="360"/>
      </w:pPr>
      <w:rPr>
        <w:rFonts w:ascii="Wingdings" w:hAnsi="Wingdings" w:hint="default"/>
        <w:sz w:val="20"/>
      </w:rPr>
    </w:lvl>
    <w:lvl w:ilvl="3" w:tplc="08781F0E" w:tentative="1">
      <w:start w:val="1"/>
      <w:numFmt w:val="bullet"/>
      <w:lvlText w:val=""/>
      <w:lvlJc w:val="left"/>
      <w:pPr>
        <w:tabs>
          <w:tab w:val="num" w:pos="2880"/>
        </w:tabs>
        <w:ind w:left="2880" w:hanging="360"/>
      </w:pPr>
      <w:rPr>
        <w:rFonts w:ascii="Wingdings" w:hAnsi="Wingdings" w:hint="default"/>
        <w:sz w:val="20"/>
      </w:rPr>
    </w:lvl>
    <w:lvl w:ilvl="4" w:tplc="C6124308" w:tentative="1">
      <w:start w:val="1"/>
      <w:numFmt w:val="bullet"/>
      <w:lvlText w:val=""/>
      <w:lvlJc w:val="left"/>
      <w:pPr>
        <w:tabs>
          <w:tab w:val="num" w:pos="3600"/>
        </w:tabs>
        <w:ind w:left="3600" w:hanging="360"/>
      </w:pPr>
      <w:rPr>
        <w:rFonts w:ascii="Wingdings" w:hAnsi="Wingdings" w:hint="default"/>
        <w:sz w:val="20"/>
      </w:rPr>
    </w:lvl>
    <w:lvl w:ilvl="5" w:tplc="E3A6E1F2" w:tentative="1">
      <w:start w:val="1"/>
      <w:numFmt w:val="bullet"/>
      <w:lvlText w:val=""/>
      <w:lvlJc w:val="left"/>
      <w:pPr>
        <w:tabs>
          <w:tab w:val="num" w:pos="4320"/>
        </w:tabs>
        <w:ind w:left="4320" w:hanging="360"/>
      </w:pPr>
      <w:rPr>
        <w:rFonts w:ascii="Wingdings" w:hAnsi="Wingdings" w:hint="default"/>
        <w:sz w:val="20"/>
      </w:rPr>
    </w:lvl>
    <w:lvl w:ilvl="6" w:tplc="8B0CDF9E" w:tentative="1">
      <w:start w:val="1"/>
      <w:numFmt w:val="bullet"/>
      <w:lvlText w:val=""/>
      <w:lvlJc w:val="left"/>
      <w:pPr>
        <w:tabs>
          <w:tab w:val="num" w:pos="5040"/>
        </w:tabs>
        <w:ind w:left="5040" w:hanging="360"/>
      </w:pPr>
      <w:rPr>
        <w:rFonts w:ascii="Wingdings" w:hAnsi="Wingdings" w:hint="default"/>
        <w:sz w:val="20"/>
      </w:rPr>
    </w:lvl>
    <w:lvl w:ilvl="7" w:tplc="681A0A0C" w:tentative="1">
      <w:start w:val="1"/>
      <w:numFmt w:val="bullet"/>
      <w:lvlText w:val=""/>
      <w:lvlJc w:val="left"/>
      <w:pPr>
        <w:tabs>
          <w:tab w:val="num" w:pos="5760"/>
        </w:tabs>
        <w:ind w:left="5760" w:hanging="360"/>
      </w:pPr>
      <w:rPr>
        <w:rFonts w:ascii="Wingdings" w:hAnsi="Wingdings" w:hint="default"/>
        <w:sz w:val="20"/>
      </w:rPr>
    </w:lvl>
    <w:lvl w:ilvl="8" w:tplc="BE3C9FC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2A1664"/>
    <w:multiLevelType w:val="hybridMultilevel"/>
    <w:tmpl w:val="4EFA4E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15"/>
  </w:num>
  <w:num w:numId="4">
    <w:abstractNumId w:val="1"/>
  </w:num>
  <w:num w:numId="5">
    <w:abstractNumId w:val="21"/>
  </w:num>
  <w:num w:numId="6">
    <w:abstractNumId w:val="9"/>
  </w:num>
  <w:num w:numId="7">
    <w:abstractNumId w:val="10"/>
  </w:num>
  <w:num w:numId="8">
    <w:abstractNumId w:val="31"/>
  </w:num>
  <w:num w:numId="9">
    <w:abstractNumId w:val="14"/>
  </w:num>
  <w:num w:numId="10">
    <w:abstractNumId w:val="27"/>
  </w:num>
  <w:num w:numId="11">
    <w:abstractNumId w:val="16"/>
  </w:num>
  <w:num w:numId="12">
    <w:abstractNumId w:val="28"/>
  </w:num>
  <w:num w:numId="13">
    <w:abstractNumId w:val="4"/>
  </w:num>
  <w:num w:numId="14">
    <w:abstractNumId w:val="26"/>
  </w:num>
  <w:num w:numId="15">
    <w:abstractNumId w:val="12"/>
  </w:num>
  <w:num w:numId="16">
    <w:abstractNumId w:val="18"/>
  </w:num>
  <w:num w:numId="17">
    <w:abstractNumId w:val="5"/>
  </w:num>
  <w:num w:numId="18">
    <w:abstractNumId w:val="23"/>
  </w:num>
  <w:num w:numId="19">
    <w:abstractNumId w:val="6"/>
  </w:num>
  <w:num w:numId="20">
    <w:abstractNumId w:val="22"/>
  </w:num>
  <w:num w:numId="21">
    <w:abstractNumId w:val="20"/>
  </w:num>
  <w:num w:numId="22">
    <w:abstractNumId w:val="7"/>
  </w:num>
  <w:num w:numId="23">
    <w:abstractNumId w:val="19"/>
  </w:num>
  <w:num w:numId="24">
    <w:abstractNumId w:val="11"/>
  </w:num>
  <w:num w:numId="25">
    <w:abstractNumId w:val="29"/>
  </w:num>
  <w:num w:numId="26">
    <w:abstractNumId w:val="8"/>
  </w:num>
  <w:num w:numId="27">
    <w:abstractNumId w:val="2"/>
  </w:num>
  <w:num w:numId="28">
    <w:abstractNumId w:val="25"/>
  </w:num>
  <w:num w:numId="29">
    <w:abstractNumId w:val="13"/>
  </w:num>
  <w:num w:numId="30">
    <w:abstractNumId w:val="24"/>
  </w:num>
  <w:num w:numId="31">
    <w:abstractNumId w:val="3"/>
  </w:num>
  <w:num w:numId="3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29"/>
    <w:rsid w:val="00001414"/>
    <w:rsid w:val="00002D7D"/>
    <w:rsid w:val="00002FA8"/>
    <w:rsid w:val="00004482"/>
    <w:rsid w:val="00006E9A"/>
    <w:rsid w:val="00006FCB"/>
    <w:rsid w:val="0001239B"/>
    <w:rsid w:val="000133E6"/>
    <w:rsid w:val="00013B44"/>
    <w:rsid w:val="000147EC"/>
    <w:rsid w:val="000201E5"/>
    <w:rsid w:val="00020A37"/>
    <w:rsid w:val="000220F0"/>
    <w:rsid w:val="00030A31"/>
    <w:rsid w:val="00030C6A"/>
    <w:rsid w:val="0003287B"/>
    <w:rsid w:val="00035FCA"/>
    <w:rsid w:val="00042BAA"/>
    <w:rsid w:val="00046DCE"/>
    <w:rsid w:val="00046F45"/>
    <w:rsid w:val="000478F9"/>
    <w:rsid w:val="00050678"/>
    <w:rsid w:val="00050EBC"/>
    <w:rsid w:val="000528E2"/>
    <w:rsid w:val="00056670"/>
    <w:rsid w:val="00056BEA"/>
    <w:rsid w:val="00060215"/>
    <w:rsid w:val="0006258B"/>
    <w:rsid w:val="000641F5"/>
    <w:rsid w:val="0006576E"/>
    <w:rsid w:val="00066FB9"/>
    <w:rsid w:val="00067655"/>
    <w:rsid w:val="0007130E"/>
    <w:rsid w:val="00071AF9"/>
    <w:rsid w:val="0007231C"/>
    <w:rsid w:val="00073570"/>
    <w:rsid w:val="000754E2"/>
    <w:rsid w:val="00080617"/>
    <w:rsid w:val="00090958"/>
    <w:rsid w:val="00091044"/>
    <w:rsid w:val="00091B2A"/>
    <w:rsid w:val="00093BAF"/>
    <w:rsid w:val="000943DA"/>
    <w:rsid w:val="0009465A"/>
    <w:rsid w:val="0009485C"/>
    <w:rsid w:val="0009554B"/>
    <w:rsid w:val="000A15E9"/>
    <w:rsid w:val="000A1E40"/>
    <w:rsid w:val="000A3E89"/>
    <w:rsid w:val="000A5F99"/>
    <w:rsid w:val="000B282F"/>
    <w:rsid w:val="000B28E9"/>
    <w:rsid w:val="000B3C4D"/>
    <w:rsid w:val="000B6730"/>
    <w:rsid w:val="000C28CC"/>
    <w:rsid w:val="000C2A8F"/>
    <w:rsid w:val="000C3383"/>
    <w:rsid w:val="000C5389"/>
    <w:rsid w:val="000C6126"/>
    <w:rsid w:val="000C6FDA"/>
    <w:rsid w:val="000D1587"/>
    <w:rsid w:val="000D2966"/>
    <w:rsid w:val="000D2F34"/>
    <w:rsid w:val="000E08B5"/>
    <w:rsid w:val="000E0A63"/>
    <w:rsid w:val="000E125B"/>
    <w:rsid w:val="000E3B68"/>
    <w:rsid w:val="000E66F6"/>
    <w:rsid w:val="000E6A08"/>
    <w:rsid w:val="000E6C9E"/>
    <w:rsid w:val="000E6E1A"/>
    <w:rsid w:val="000E71CE"/>
    <w:rsid w:val="000F1658"/>
    <w:rsid w:val="000F1732"/>
    <w:rsid w:val="000F21D7"/>
    <w:rsid w:val="000F580D"/>
    <w:rsid w:val="000F5E7E"/>
    <w:rsid w:val="000F7068"/>
    <w:rsid w:val="00100805"/>
    <w:rsid w:val="00101EB2"/>
    <w:rsid w:val="00105025"/>
    <w:rsid w:val="001061BC"/>
    <w:rsid w:val="001076F5"/>
    <w:rsid w:val="00111834"/>
    <w:rsid w:val="0011348C"/>
    <w:rsid w:val="001135C8"/>
    <w:rsid w:val="00113F57"/>
    <w:rsid w:val="001152D4"/>
    <w:rsid w:val="001176C8"/>
    <w:rsid w:val="00121E18"/>
    <w:rsid w:val="00123228"/>
    <w:rsid w:val="0012350D"/>
    <w:rsid w:val="001257AC"/>
    <w:rsid w:val="00126FEA"/>
    <w:rsid w:val="001303C9"/>
    <w:rsid w:val="001324E1"/>
    <w:rsid w:val="00133E64"/>
    <w:rsid w:val="00134295"/>
    <w:rsid w:val="00134C09"/>
    <w:rsid w:val="001353F7"/>
    <w:rsid w:val="00135EEC"/>
    <w:rsid w:val="001361AC"/>
    <w:rsid w:val="00136D7E"/>
    <w:rsid w:val="00140D93"/>
    <w:rsid w:val="00145219"/>
    <w:rsid w:val="0014663E"/>
    <w:rsid w:val="00146735"/>
    <w:rsid w:val="00146795"/>
    <w:rsid w:val="00147015"/>
    <w:rsid w:val="0015162A"/>
    <w:rsid w:val="0015205A"/>
    <w:rsid w:val="001525A7"/>
    <w:rsid w:val="00153491"/>
    <w:rsid w:val="00153B93"/>
    <w:rsid w:val="00154D86"/>
    <w:rsid w:val="0015534D"/>
    <w:rsid w:val="00155937"/>
    <w:rsid w:val="00156F3A"/>
    <w:rsid w:val="001574F1"/>
    <w:rsid w:val="001612B7"/>
    <w:rsid w:val="00164734"/>
    <w:rsid w:val="00165777"/>
    <w:rsid w:val="00166B0F"/>
    <w:rsid w:val="001723AB"/>
    <w:rsid w:val="00177E84"/>
    <w:rsid w:val="001816A5"/>
    <w:rsid w:val="001839F9"/>
    <w:rsid w:val="001853D1"/>
    <w:rsid w:val="0018594F"/>
    <w:rsid w:val="00186217"/>
    <w:rsid w:val="00187408"/>
    <w:rsid w:val="00192D1D"/>
    <w:rsid w:val="0019380E"/>
    <w:rsid w:val="00193FD0"/>
    <w:rsid w:val="001941F9"/>
    <w:rsid w:val="0019496D"/>
    <w:rsid w:val="0019508F"/>
    <w:rsid w:val="001954F0"/>
    <w:rsid w:val="001A058D"/>
    <w:rsid w:val="001A0D5B"/>
    <w:rsid w:val="001A6139"/>
    <w:rsid w:val="001A6839"/>
    <w:rsid w:val="001B0921"/>
    <w:rsid w:val="001B2982"/>
    <w:rsid w:val="001B3206"/>
    <w:rsid w:val="001B3DB0"/>
    <w:rsid w:val="001B4157"/>
    <w:rsid w:val="001B4580"/>
    <w:rsid w:val="001B52D1"/>
    <w:rsid w:val="001C274A"/>
    <w:rsid w:val="001C5415"/>
    <w:rsid w:val="001D38FD"/>
    <w:rsid w:val="001D6414"/>
    <w:rsid w:val="001D7FEF"/>
    <w:rsid w:val="001E2410"/>
    <w:rsid w:val="001E24DF"/>
    <w:rsid w:val="001E52F8"/>
    <w:rsid w:val="001E5D56"/>
    <w:rsid w:val="001F10E7"/>
    <w:rsid w:val="001F4324"/>
    <w:rsid w:val="001F4FB3"/>
    <w:rsid w:val="001F502D"/>
    <w:rsid w:val="001F5B40"/>
    <w:rsid w:val="001F5D05"/>
    <w:rsid w:val="001F652C"/>
    <w:rsid w:val="001F6AB5"/>
    <w:rsid w:val="00201124"/>
    <w:rsid w:val="002019B7"/>
    <w:rsid w:val="00201B8F"/>
    <w:rsid w:val="00203928"/>
    <w:rsid w:val="002055E1"/>
    <w:rsid w:val="002069D3"/>
    <w:rsid w:val="00206B2C"/>
    <w:rsid w:val="00211C1C"/>
    <w:rsid w:val="00213B28"/>
    <w:rsid w:val="00215C5F"/>
    <w:rsid w:val="00221776"/>
    <w:rsid w:val="00222696"/>
    <w:rsid w:val="002232AB"/>
    <w:rsid w:val="002233E2"/>
    <w:rsid w:val="00224C0B"/>
    <w:rsid w:val="002260D8"/>
    <w:rsid w:val="0023113D"/>
    <w:rsid w:val="002315ED"/>
    <w:rsid w:val="00231F37"/>
    <w:rsid w:val="002331D8"/>
    <w:rsid w:val="00234786"/>
    <w:rsid w:val="00236CAA"/>
    <w:rsid w:val="0023717B"/>
    <w:rsid w:val="002403B4"/>
    <w:rsid w:val="00240FBD"/>
    <w:rsid w:val="0024114F"/>
    <w:rsid w:val="0024262B"/>
    <w:rsid w:val="002440DB"/>
    <w:rsid w:val="0024538F"/>
    <w:rsid w:val="002471D7"/>
    <w:rsid w:val="0024746C"/>
    <w:rsid w:val="0024746F"/>
    <w:rsid w:val="00247E39"/>
    <w:rsid w:val="00253BF4"/>
    <w:rsid w:val="002559EE"/>
    <w:rsid w:val="00256743"/>
    <w:rsid w:val="00257120"/>
    <w:rsid w:val="00257D93"/>
    <w:rsid w:val="00260623"/>
    <w:rsid w:val="002637E0"/>
    <w:rsid w:val="00264657"/>
    <w:rsid w:val="002648B6"/>
    <w:rsid w:val="0026578F"/>
    <w:rsid w:val="002673F8"/>
    <w:rsid w:val="00271E4F"/>
    <w:rsid w:val="00272BD5"/>
    <w:rsid w:val="00272E41"/>
    <w:rsid w:val="00272F51"/>
    <w:rsid w:val="00274C1E"/>
    <w:rsid w:val="00275BE2"/>
    <w:rsid w:val="002778BD"/>
    <w:rsid w:val="00282104"/>
    <w:rsid w:val="00284A50"/>
    <w:rsid w:val="00285B2F"/>
    <w:rsid w:val="00285C62"/>
    <w:rsid w:val="00286024"/>
    <w:rsid w:val="00286714"/>
    <w:rsid w:val="00286A65"/>
    <w:rsid w:val="002911D4"/>
    <w:rsid w:val="00293130"/>
    <w:rsid w:val="00293363"/>
    <w:rsid w:val="00293797"/>
    <w:rsid w:val="00294A5F"/>
    <w:rsid w:val="00296056"/>
    <w:rsid w:val="002977BC"/>
    <w:rsid w:val="002A0922"/>
    <w:rsid w:val="002A0D09"/>
    <w:rsid w:val="002A2517"/>
    <w:rsid w:val="002A2562"/>
    <w:rsid w:val="002A2EFD"/>
    <w:rsid w:val="002A462D"/>
    <w:rsid w:val="002A6C5E"/>
    <w:rsid w:val="002B0868"/>
    <w:rsid w:val="002B17B8"/>
    <w:rsid w:val="002B2753"/>
    <w:rsid w:val="002B2984"/>
    <w:rsid w:val="002B2ABB"/>
    <w:rsid w:val="002B47A2"/>
    <w:rsid w:val="002B5A22"/>
    <w:rsid w:val="002B5BD3"/>
    <w:rsid w:val="002B5BEC"/>
    <w:rsid w:val="002B6DAC"/>
    <w:rsid w:val="002B764B"/>
    <w:rsid w:val="002C2EB8"/>
    <w:rsid w:val="002C327E"/>
    <w:rsid w:val="002C4439"/>
    <w:rsid w:val="002C5B29"/>
    <w:rsid w:val="002C78A3"/>
    <w:rsid w:val="002D16D6"/>
    <w:rsid w:val="002D2720"/>
    <w:rsid w:val="002D2A2D"/>
    <w:rsid w:val="002D3C85"/>
    <w:rsid w:val="002E06E5"/>
    <w:rsid w:val="002E0B5E"/>
    <w:rsid w:val="002E1EF6"/>
    <w:rsid w:val="002E4EAE"/>
    <w:rsid w:val="002E60D7"/>
    <w:rsid w:val="002E6251"/>
    <w:rsid w:val="002E663B"/>
    <w:rsid w:val="002E6C28"/>
    <w:rsid w:val="002F0478"/>
    <w:rsid w:val="002F2CA5"/>
    <w:rsid w:val="002F3C32"/>
    <w:rsid w:val="002F501B"/>
    <w:rsid w:val="002F5B03"/>
    <w:rsid w:val="002F6032"/>
    <w:rsid w:val="003007C7"/>
    <w:rsid w:val="00300CC5"/>
    <w:rsid w:val="00302633"/>
    <w:rsid w:val="00304203"/>
    <w:rsid w:val="0030456C"/>
    <w:rsid w:val="00305E24"/>
    <w:rsid w:val="003115C8"/>
    <w:rsid w:val="00311AA4"/>
    <w:rsid w:val="00312D11"/>
    <w:rsid w:val="00316577"/>
    <w:rsid w:val="00317234"/>
    <w:rsid w:val="003178EE"/>
    <w:rsid w:val="00317D5B"/>
    <w:rsid w:val="00320323"/>
    <w:rsid w:val="00325D6D"/>
    <w:rsid w:val="003276F8"/>
    <w:rsid w:val="00327916"/>
    <w:rsid w:val="00331AE0"/>
    <w:rsid w:val="00332D50"/>
    <w:rsid w:val="00335DF3"/>
    <w:rsid w:val="003376A5"/>
    <w:rsid w:val="00340596"/>
    <w:rsid w:val="00342FA5"/>
    <w:rsid w:val="00343EDC"/>
    <w:rsid w:val="00345A1A"/>
    <w:rsid w:val="0034619F"/>
    <w:rsid w:val="003471FD"/>
    <w:rsid w:val="003504A5"/>
    <w:rsid w:val="00352362"/>
    <w:rsid w:val="003539ED"/>
    <w:rsid w:val="00355933"/>
    <w:rsid w:val="0035791B"/>
    <w:rsid w:val="00360A77"/>
    <w:rsid w:val="00361884"/>
    <w:rsid w:val="00361894"/>
    <w:rsid w:val="00366864"/>
    <w:rsid w:val="00367D28"/>
    <w:rsid w:val="0037033F"/>
    <w:rsid w:val="003712EB"/>
    <w:rsid w:val="003725F0"/>
    <w:rsid w:val="003754AB"/>
    <w:rsid w:val="00375BC4"/>
    <w:rsid w:val="00375DB8"/>
    <w:rsid w:val="00383BD3"/>
    <w:rsid w:val="00384CAB"/>
    <w:rsid w:val="00386A6B"/>
    <w:rsid w:val="0039076F"/>
    <w:rsid w:val="00393BDC"/>
    <w:rsid w:val="003942D3"/>
    <w:rsid w:val="003A0B0A"/>
    <w:rsid w:val="003A23AC"/>
    <w:rsid w:val="003A2AE7"/>
    <w:rsid w:val="003B7D37"/>
    <w:rsid w:val="003C0379"/>
    <w:rsid w:val="003C2851"/>
    <w:rsid w:val="003C565B"/>
    <w:rsid w:val="003C5787"/>
    <w:rsid w:val="003C5B27"/>
    <w:rsid w:val="003C6547"/>
    <w:rsid w:val="003C6E6D"/>
    <w:rsid w:val="003C7527"/>
    <w:rsid w:val="003D1B27"/>
    <w:rsid w:val="003D479A"/>
    <w:rsid w:val="003D4CB8"/>
    <w:rsid w:val="003D4F04"/>
    <w:rsid w:val="003D5E1D"/>
    <w:rsid w:val="003D65DC"/>
    <w:rsid w:val="003E01DC"/>
    <w:rsid w:val="003E1848"/>
    <w:rsid w:val="003E1DF1"/>
    <w:rsid w:val="003E360D"/>
    <w:rsid w:val="003E363E"/>
    <w:rsid w:val="003E428D"/>
    <w:rsid w:val="003E56F2"/>
    <w:rsid w:val="003F3176"/>
    <w:rsid w:val="003F34C1"/>
    <w:rsid w:val="003F367B"/>
    <w:rsid w:val="003F3720"/>
    <w:rsid w:val="003F3BD8"/>
    <w:rsid w:val="003F463A"/>
    <w:rsid w:val="003F5D04"/>
    <w:rsid w:val="003F64FB"/>
    <w:rsid w:val="003F68D9"/>
    <w:rsid w:val="003F6E2A"/>
    <w:rsid w:val="004008FE"/>
    <w:rsid w:val="00400DFA"/>
    <w:rsid w:val="004018FA"/>
    <w:rsid w:val="00403AF6"/>
    <w:rsid w:val="00403C02"/>
    <w:rsid w:val="00405E13"/>
    <w:rsid w:val="00412EAE"/>
    <w:rsid w:val="00413C4F"/>
    <w:rsid w:val="0041627B"/>
    <w:rsid w:val="0041744F"/>
    <w:rsid w:val="00421628"/>
    <w:rsid w:val="004262EE"/>
    <w:rsid w:val="00427603"/>
    <w:rsid w:val="00431569"/>
    <w:rsid w:val="00436FC7"/>
    <w:rsid w:val="00440423"/>
    <w:rsid w:val="00440961"/>
    <w:rsid w:val="00441865"/>
    <w:rsid w:val="00442AA9"/>
    <w:rsid w:val="004430EB"/>
    <w:rsid w:val="00443AB0"/>
    <w:rsid w:val="00443F33"/>
    <w:rsid w:val="004465C4"/>
    <w:rsid w:val="004469D7"/>
    <w:rsid w:val="004518FE"/>
    <w:rsid w:val="00452778"/>
    <w:rsid w:val="004529F6"/>
    <w:rsid w:val="00452AF5"/>
    <w:rsid w:val="00452E8A"/>
    <w:rsid w:val="004535AD"/>
    <w:rsid w:val="004553EB"/>
    <w:rsid w:val="0045583E"/>
    <w:rsid w:val="00456F0B"/>
    <w:rsid w:val="004606B6"/>
    <w:rsid w:val="004624A9"/>
    <w:rsid w:val="0047109E"/>
    <w:rsid w:val="0047146E"/>
    <w:rsid w:val="0047249A"/>
    <w:rsid w:val="00472A94"/>
    <w:rsid w:val="004736BB"/>
    <w:rsid w:val="004748AB"/>
    <w:rsid w:val="004771EC"/>
    <w:rsid w:val="0047794B"/>
    <w:rsid w:val="0048141E"/>
    <w:rsid w:val="00481B16"/>
    <w:rsid w:val="00482E8F"/>
    <w:rsid w:val="00484FBA"/>
    <w:rsid w:val="004860C7"/>
    <w:rsid w:val="004865A9"/>
    <w:rsid w:val="00486DD4"/>
    <w:rsid w:val="0049163E"/>
    <w:rsid w:val="00491E63"/>
    <w:rsid w:val="004937BD"/>
    <w:rsid w:val="00497088"/>
    <w:rsid w:val="00497FB1"/>
    <w:rsid w:val="004A01AB"/>
    <w:rsid w:val="004A054B"/>
    <w:rsid w:val="004A163F"/>
    <w:rsid w:val="004A18B3"/>
    <w:rsid w:val="004A54FA"/>
    <w:rsid w:val="004A59F4"/>
    <w:rsid w:val="004A768B"/>
    <w:rsid w:val="004A76DD"/>
    <w:rsid w:val="004B2D8B"/>
    <w:rsid w:val="004B4F95"/>
    <w:rsid w:val="004B523F"/>
    <w:rsid w:val="004B5A24"/>
    <w:rsid w:val="004B7725"/>
    <w:rsid w:val="004B7816"/>
    <w:rsid w:val="004C1350"/>
    <w:rsid w:val="004C1DB9"/>
    <w:rsid w:val="004C29BE"/>
    <w:rsid w:val="004C2B8F"/>
    <w:rsid w:val="004C31B7"/>
    <w:rsid w:val="004C4AC5"/>
    <w:rsid w:val="004C7B2B"/>
    <w:rsid w:val="004D2718"/>
    <w:rsid w:val="004D44E8"/>
    <w:rsid w:val="004D5C07"/>
    <w:rsid w:val="004E0515"/>
    <w:rsid w:val="004E609C"/>
    <w:rsid w:val="004E7B92"/>
    <w:rsid w:val="004F36E4"/>
    <w:rsid w:val="004F4C66"/>
    <w:rsid w:val="005001FB"/>
    <w:rsid w:val="005030A5"/>
    <w:rsid w:val="00504439"/>
    <w:rsid w:val="00504759"/>
    <w:rsid w:val="00504E0A"/>
    <w:rsid w:val="0050512A"/>
    <w:rsid w:val="005057DC"/>
    <w:rsid w:val="00511748"/>
    <w:rsid w:val="00514AEB"/>
    <w:rsid w:val="00515F4D"/>
    <w:rsid w:val="00516DCF"/>
    <w:rsid w:val="00520FF2"/>
    <w:rsid w:val="005218E9"/>
    <w:rsid w:val="00526391"/>
    <w:rsid w:val="0052717D"/>
    <w:rsid w:val="005274FB"/>
    <w:rsid w:val="00530461"/>
    <w:rsid w:val="00530BA9"/>
    <w:rsid w:val="00531338"/>
    <w:rsid w:val="0054448A"/>
    <w:rsid w:val="00544832"/>
    <w:rsid w:val="00544EDF"/>
    <w:rsid w:val="005503E3"/>
    <w:rsid w:val="0055604E"/>
    <w:rsid w:val="00563B9C"/>
    <w:rsid w:val="00563CCB"/>
    <w:rsid w:val="005656F0"/>
    <w:rsid w:val="00566D4F"/>
    <w:rsid w:val="00567607"/>
    <w:rsid w:val="00573432"/>
    <w:rsid w:val="00577DAA"/>
    <w:rsid w:val="00582053"/>
    <w:rsid w:val="005826F4"/>
    <w:rsid w:val="0058584A"/>
    <w:rsid w:val="00586535"/>
    <w:rsid w:val="00586630"/>
    <w:rsid w:val="005866AA"/>
    <w:rsid w:val="00586E05"/>
    <w:rsid w:val="00587269"/>
    <w:rsid w:val="00590226"/>
    <w:rsid w:val="0059046E"/>
    <w:rsid w:val="005945B7"/>
    <w:rsid w:val="00595CBB"/>
    <w:rsid w:val="00596610"/>
    <w:rsid w:val="005A151D"/>
    <w:rsid w:val="005A3A79"/>
    <w:rsid w:val="005A3FC3"/>
    <w:rsid w:val="005A3FC6"/>
    <w:rsid w:val="005A4039"/>
    <w:rsid w:val="005A43B9"/>
    <w:rsid w:val="005A447D"/>
    <w:rsid w:val="005A48DA"/>
    <w:rsid w:val="005A48E9"/>
    <w:rsid w:val="005A4B5C"/>
    <w:rsid w:val="005A4F4C"/>
    <w:rsid w:val="005A5BD8"/>
    <w:rsid w:val="005A676C"/>
    <w:rsid w:val="005A733C"/>
    <w:rsid w:val="005B04C0"/>
    <w:rsid w:val="005B2D38"/>
    <w:rsid w:val="005B7F20"/>
    <w:rsid w:val="005C02D2"/>
    <w:rsid w:val="005C4805"/>
    <w:rsid w:val="005C7D8E"/>
    <w:rsid w:val="005D0421"/>
    <w:rsid w:val="005D7F11"/>
    <w:rsid w:val="005E17E6"/>
    <w:rsid w:val="005E1BEA"/>
    <w:rsid w:val="005E3CEF"/>
    <w:rsid w:val="005E4724"/>
    <w:rsid w:val="005E4942"/>
    <w:rsid w:val="005E58D4"/>
    <w:rsid w:val="005E6104"/>
    <w:rsid w:val="005F032B"/>
    <w:rsid w:val="005F07A2"/>
    <w:rsid w:val="005F72E5"/>
    <w:rsid w:val="006011C6"/>
    <w:rsid w:val="00602A1B"/>
    <w:rsid w:val="0060767A"/>
    <w:rsid w:val="0060798D"/>
    <w:rsid w:val="00607A1D"/>
    <w:rsid w:val="00610413"/>
    <w:rsid w:val="00610CFA"/>
    <w:rsid w:val="006117B4"/>
    <w:rsid w:val="00611E3F"/>
    <w:rsid w:val="006129C1"/>
    <w:rsid w:val="00613EB5"/>
    <w:rsid w:val="00614B81"/>
    <w:rsid w:val="00615208"/>
    <w:rsid w:val="00617804"/>
    <w:rsid w:val="00617A69"/>
    <w:rsid w:val="00617C60"/>
    <w:rsid w:val="0062462F"/>
    <w:rsid w:val="00627BC1"/>
    <w:rsid w:val="006315E8"/>
    <w:rsid w:val="00633362"/>
    <w:rsid w:val="00634E48"/>
    <w:rsid w:val="00640176"/>
    <w:rsid w:val="006416D2"/>
    <w:rsid w:val="00641F94"/>
    <w:rsid w:val="0064447C"/>
    <w:rsid w:val="00650F70"/>
    <w:rsid w:val="00653439"/>
    <w:rsid w:val="006535A0"/>
    <w:rsid w:val="0065388A"/>
    <w:rsid w:val="00656286"/>
    <w:rsid w:val="00661242"/>
    <w:rsid w:val="00663ED9"/>
    <w:rsid w:val="00670602"/>
    <w:rsid w:val="0067504D"/>
    <w:rsid w:val="00675669"/>
    <w:rsid w:val="006776D6"/>
    <w:rsid w:val="006778C6"/>
    <w:rsid w:val="00681FAF"/>
    <w:rsid w:val="00690502"/>
    <w:rsid w:val="00691059"/>
    <w:rsid w:val="00692841"/>
    <w:rsid w:val="0069405B"/>
    <w:rsid w:val="006971CF"/>
    <w:rsid w:val="0069729B"/>
    <w:rsid w:val="00697B46"/>
    <w:rsid w:val="006A007E"/>
    <w:rsid w:val="006A380E"/>
    <w:rsid w:val="006A4E45"/>
    <w:rsid w:val="006B078E"/>
    <w:rsid w:val="006B08F7"/>
    <w:rsid w:val="006B13A6"/>
    <w:rsid w:val="006B23D1"/>
    <w:rsid w:val="006B4283"/>
    <w:rsid w:val="006B6473"/>
    <w:rsid w:val="006B6D05"/>
    <w:rsid w:val="006B733E"/>
    <w:rsid w:val="006B7C5F"/>
    <w:rsid w:val="006C032C"/>
    <w:rsid w:val="006C11EE"/>
    <w:rsid w:val="006C39C3"/>
    <w:rsid w:val="006C5390"/>
    <w:rsid w:val="006C58AB"/>
    <w:rsid w:val="006C6A10"/>
    <w:rsid w:val="006C7D85"/>
    <w:rsid w:val="006D1929"/>
    <w:rsid w:val="006D1CA2"/>
    <w:rsid w:val="006D2194"/>
    <w:rsid w:val="006D2BB6"/>
    <w:rsid w:val="006D387D"/>
    <w:rsid w:val="006D5F17"/>
    <w:rsid w:val="006D70FD"/>
    <w:rsid w:val="006D7103"/>
    <w:rsid w:val="006E4C54"/>
    <w:rsid w:val="006E5F62"/>
    <w:rsid w:val="006E7249"/>
    <w:rsid w:val="006E7451"/>
    <w:rsid w:val="006F02FA"/>
    <w:rsid w:val="006F0DF1"/>
    <w:rsid w:val="006F112D"/>
    <w:rsid w:val="006F27C7"/>
    <w:rsid w:val="006F341F"/>
    <w:rsid w:val="006F42AF"/>
    <w:rsid w:val="006F52BE"/>
    <w:rsid w:val="006F7D26"/>
    <w:rsid w:val="007009BA"/>
    <w:rsid w:val="00702B0B"/>
    <w:rsid w:val="00702F71"/>
    <w:rsid w:val="00705A4C"/>
    <w:rsid w:val="00705F46"/>
    <w:rsid w:val="007060A2"/>
    <w:rsid w:val="0070715F"/>
    <w:rsid w:val="007075AD"/>
    <w:rsid w:val="00712F89"/>
    <w:rsid w:val="0071364A"/>
    <w:rsid w:val="00720327"/>
    <w:rsid w:val="00720667"/>
    <w:rsid w:val="00721E69"/>
    <w:rsid w:val="00722D46"/>
    <w:rsid w:val="00734C6F"/>
    <w:rsid w:val="007358FF"/>
    <w:rsid w:val="007369FC"/>
    <w:rsid w:val="007402E8"/>
    <w:rsid w:val="007404EC"/>
    <w:rsid w:val="0074185C"/>
    <w:rsid w:val="00741B78"/>
    <w:rsid w:val="00742BD5"/>
    <w:rsid w:val="00745A4C"/>
    <w:rsid w:val="00745FCF"/>
    <w:rsid w:val="00751BF0"/>
    <w:rsid w:val="007524CA"/>
    <w:rsid w:val="00752844"/>
    <w:rsid w:val="00757E1D"/>
    <w:rsid w:val="0076170F"/>
    <w:rsid w:val="00762B1E"/>
    <w:rsid w:val="007634F8"/>
    <w:rsid w:val="007638AA"/>
    <w:rsid w:val="00766592"/>
    <w:rsid w:val="00767E0E"/>
    <w:rsid w:val="00771525"/>
    <w:rsid w:val="00772430"/>
    <w:rsid w:val="00772D1B"/>
    <w:rsid w:val="007759CE"/>
    <w:rsid w:val="00776912"/>
    <w:rsid w:val="0078116C"/>
    <w:rsid w:val="00781769"/>
    <w:rsid w:val="00782015"/>
    <w:rsid w:val="007839BC"/>
    <w:rsid w:val="00790438"/>
    <w:rsid w:val="00790ADC"/>
    <w:rsid w:val="007923C4"/>
    <w:rsid w:val="00792B9A"/>
    <w:rsid w:val="00793AB3"/>
    <w:rsid w:val="007942EE"/>
    <w:rsid w:val="0079590B"/>
    <w:rsid w:val="007A0A46"/>
    <w:rsid w:val="007A0F5F"/>
    <w:rsid w:val="007A5AF4"/>
    <w:rsid w:val="007A5CCA"/>
    <w:rsid w:val="007A5CF1"/>
    <w:rsid w:val="007A7387"/>
    <w:rsid w:val="007B2B4D"/>
    <w:rsid w:val="007B3A73"/>
    <w:rsid w:val="007B40B2"/>
    <w:rsid w:val="007B4BFB"/>
    <w:rsid w:val="007C165C"/>
    <w:rsid w:val="007C4864"/>
    <w:rsid w:val="007C4CB0"/>
    <w:rsid w:val="007C58FC"/>
    <w:rsid w:val="007C616C"/>
    <w:rsid w:val="007D0793"/>
    <w:rsid w:val="007D185D"/>
    <w:rsid w:val="007D42D9"/>
    <w:rsid w:val="007D5134"/>
    <w:rsid w:val="007E18CB"/>
    <w:rsid w:val="007E371F"/>
    <w:rsid w:val="007E3BC7"/>
    <w:rsid w:val="007E3EB4"/>
    <w:rsid w:val="007E4319"/>
    <w:rsid w:val="007E4E36"/>
    <w:rsid w:val="007E558A"/>
    <w:rsid w:val="007F02ED"/>
    <w:rsid w:val="007F0360"/>
    <w:rsid w:val="007F0B9B"/>
    <w:rsid w:val="007F0F84"/>
    <w:rsid w:val="007F2CB8"/>
    <w:rsid w:val="007F437D"/>
    <w:rsid w:val="007F4B09"/>
    <w:rsid w:val="007F6364"/>
    <w:rsid w:val="0080060B"/>
    <w:rsid w:val="00800DDF"/>
    <w:rsid w:val="00802249"/>
    <w:rsid w:val="00803266"/>
    <w:rsid w:val="00803CD3"/>
    <w:rsid w:val="00805DC2"/>
    <w:rsid w:val="0081172E"/>
    <w:rsid w:val="00812397"/>
    <w:rsid w:val="00813A1E"/>
    <w:rsid w:val="00816B24"/>
    <w:rsid w:val="008201C3"/>
    <w:rsid w:val="00822E2F"/>
    <w:rsid w:val="00824C37"/>
    <w:rsid w:val="00825418"/>
    <w:rsid w:val="0082593A"/>
    <w:rsid w:val="00826682"/>
    <w:rsid w:val="00831D72"/>
    <w:rsid w:val="008337A2"/>
    <w:rsid w:val="00833CAD"/>
    <w:rsid w:val="008343E2"/>
    <w:rsid w:val="00836399"/>
    <w:rsid w:val="0083747C"/>
    <w:rsid w:val="00837D14"/>
    <w:rsid w:val="0084045C"/>
    <w:rsid w:val="00843303"/>
    <w:rsid w:val="008433B4"/>
    <w:rsid w:val="008464B2"/>
    <w:rsid w:val="0084737B"/>
    <w:rsid w:val="00853E4C"/>
    <w:rsid w:val="00853E79"/>
    <w:rsid w:val="00855E7B"/>
    <w:rsid w:val="00856156"/>
    <w:rsid w:val="00857F5D"/>
    <w:rsid w:val="00860597"/>
    <w:rsid w:val="00863846"/>
    <w:rsid w:val="00863D86"/>
    <w:rsid w:val="0087099A"/>
    <w:rsid w:val="00871147"/>
    <w:rsid w:val="0087114A"/>
    <w:rsid w:val="0087154C"/>
    <w:rsid w:val="008743B8"/>
    <w:rsid w:val="00880412"/>
    <w:rsid w:val="00884AD9"/>
    <w:rsid w:val="00887E83"/>
    <w:rsid w:val="008916BD"/>
    <w:rsid w:val="008930B1"/>
    <w:rsid w:val="00895727"/>
    <w:rsid w:val="00896A14"/>
    <w:rsid w:val="00896ADB"/>
    <w:rsid w:val="008A46E2"/>
    <w:rsid w:val="008A473D"/>
    <w:rsid w:val="008A5149"/>
    <w:rsid w:val="008A7131"/>
    <w:rsid w:val="008A73E0"/>
    <w:rsid w:val="008B4F8C"/>
    <w:rsid w:val="008B5D09"/>
    <w:rsid w:val="008B654E"/>
    <w:rsid w:val="008B707C"/>
    <w:rsid w:val="008C698A"/>
    <w:rsid w:val="008D004B"/>
    <w:rsid w:val="008D0DB4"/>
    <w:rsid w:val="008D2BE4"/>
    <w:rsid w:val="008D6C35"/>
    <w:rsid w:val="008D6E95"/>
    <w:rsid w:val="008D75B8"/>
    <w:rsid w:val="008E0363"/>
    <w:rsid w:val="008E2DEF"/>
    <w:rsid w:val="008E3A83"/>
    <w:rsid w:val="008E6207"/>
    <w:rsid w:val="008E6977"/>
    <w:rsid w:val="008E6D70"/>
    <w:rsid w:val="008E74B4"/>
    <w:rsid w:val="008E7DB5"/>
    <w:rsid w:val="008F0A02"/>
    <w:rsid w:val="008F2B75"/>
    <w:rsid w:val="008F2EE8"/>
    <w:rsid w:val="008F3594"/>
    <w:rsid w:val="008F4BB8"/>
    <w:rsid w:val="008F6FAE"/>
    <w:rsid w:val="008F75E7"/>
    <w:rsid w:val="0090282C"/>
    <w:rsid w:val="00905366"/>
    <w:rsid w:val="009112A9"/>
    <w:rsid w:val="00911A6A"/>
    <w:rsid w:val="00912491"/>
    <w:rsid w:val="00914B40"/>
    <w:rsid w:val="00916F1F"/>
    <w:rsid w:val="00921590"/>
    <w:rsid w:val="00921DB8"/>
    <w:rsid w:val="00922381"/>
    <w:rsid w:val="00923683"/>
    <w:rsid w:val="00925EFC"/>
    <w:rsid w:val="00926154"/>
    <w:rsid w:val="009318A7"/>
    <w:rsid w:val="009344A5"/>
    <w:rsid w:val="00935886"/>
    <w:rsid w:val="00936BEF"/>
    <w:rsid w:val="0094612B"/>
    <w:rsid w:val="00951A1A"/>
    <w:rsid w:val="00952F91"/>
    <w:rsid w:val="00956A06"/>
    <w:rsid w:val="00960A9C"/>
    <w:rsid w:val="00960D82"/>
    <w:rsid w:val="009645D2"/>
    <w:rsid w:val="00964F94"/>
    <w:rsid w:val="00965CBA"/>
    <w:rsid w:val="0096714A"/>
    <w:rsid w:val="00967DFE"/>
    <w:rsid w:val="00970611"/>
    <w:rsid w:val="009712FC"/>
    <w:rsid w:val="00971889"/>
    <w:rsid w:val="0097287E"/>
    <w:rsid w:val="009802A9"/>
    <w:rsid w:val="00984BC5"/>
    <w:rsid w:val="00985AF1"/>
    <w:rsid w:val="00986080"/>
    <w:rsid w:val="00986417"/>
    <w:rsid w:val="00992D91"/>
    <w:rsid w:val="00993A74"/>
    <w:rsid w:val="00993BAD"/>
    <w:rsid w:val="00993F66"/>
    <w:rsid w:val="009943BA"/>
    <w:rsid w:val="009954B8"/>
    <w:rsid w:val="009970BA"/>
    <w:rsid w:val="009A0DBF"/>
    <w:rsid w:val="009A2175"/>
    <w:rsid w:val="009A4379"/>
    <w:rsid w:val="009A48AE"/>
    <w:rsid w:val="009A53C3"/>
    <w:rsid w:val="009A7361"/>
    <w:rsid w:val="009B0699"/>
    <w:rsid w:val="009B3AA6"/>
    <w:rsid w:val="009B583F"/>
    <w:rsid w:val="009B5C7A"/>
    <w:rsid w:val="009B74AD"/>
    <w:rsid w:val="009C4DB7"/>
    <w:rsid w:val="009C5732"/>
    <w:rsid w:val="009C5ED7"/>
    <w:rsid w:val="009D66C2"/>
    <w:rsid w:val="009D7E00"/>
    <w:rsid w:val="009D7F58"/>
    <w:rsid w:val="009E0D48"/>
    <w:rsid w:val="009E3E66"/>
    <w:rsid w:val="009E5227"/>
    <w:rsid w:val="009E5564"/>
    <w:rsid w:val="009E65CC"/>
    <w:rsid w:val="009E6968"/>
    <w:rsid w:val="009E6FB0"/>
    <w:rsid w:val="009E7569"/>
    <w:rsid w:val="009E7BF2"/>
    <w:rsid w:val="009F4D6D"/>
    <w:rsid w:val="009F4E62"/>
    <w:rsid w:val="009F5E3D"/>
    <w:rsid w:val="00A00026"/>
    <w:rsid w:val="00A00E3C"/>
    <w:rsid w:val="00A0216C"/>
    <w:rsid w:val="00A02210"/>
    <w:rsid w:val="00A02E46"/>
    <w:rsid w:val="00A060AB"/>
    <w:rsid w:val="00A06C72"/>
    <w:rsid w:val="00A1208C"/>
    <w:rsid w:val="00A130AC"/>
    <w:rsid w:val="00A21E49"/>
    <w:rsid w:val="00A25565"/>
    <w:rsid w:val="00A255D8"/>
    <w:rsid w:val="00A305C4"/>
    <w:rsid w:val="00A3187D"/>
    <w:rsid w:val="00A33D1B"/>
    <w:rsid w:val="00A356C2"/>
    <w:rsid w:val="00A3636C"/>
    <w:rsid w:val="00A42608"/>
    <w:rsid w:val="00A44A35"/>
    <w:rsid w:val="00A45CEE"/>
    <w:rsid w:val="00A466AB"/>
    <w:rsid w:val="00A4799E"/>
    <w:rsid w:val="00A50DA0"/>
    <w:rsid w:val="00A52904"/>
    <w:rsid w:val="00A5350B"/>
    <w:rsid w:val="00A540F6"/>
    <w:rsid w:val="00A60CF3"/>
    <w:rsid w:val="00A67129"/>
    <w:rsid w:val="00A70916"/>
    <w:rsid w:val="00A71743"/>
    <w:rsid w:val="00A7341E"/>
    <w:rsid w:val="00A7677E"/>
    <w:rsid w:val="00A771F5"/>
    <w:rsid w:val="00A801E3"/>
    <w:rsid w:val="00A80A43"/>
    <w:rsid w:val="00A83977"/>
    <w:rsid w:val="00A851FB"/>
    <w:rsid w:val="00A92297"/>
    <w:rsid w:val="00A936CF"/>
    <w:rsid w:val="00A9436A"/>
    <w:rsid w:val="00AA01C6"/>
    <w:rsid w:val="00AA0F2C"/>
    <w:rsid w:val="00AA2191"/>
    <w:rsid w:val="00AA29DB"/>
    <w:rsid w:val="00AA3DE2"/>
    <w:rsid w:val="00AA3EF4"/>
    <w:rsid w:val="00AB0390"/>
    <w:rsid w:val="00AB19B6"/>
    <w:rsid w:val="00AB25A5"/>
    <w:rsid w:val="00AB3927"/>
    <w:rsid w:val="00AC104C"/>
    <w:rsid w:val="00AC1372"/>
    <w:rsid w:val="00AC3620"/>
    <w:rsid w:val="00AC42DD"/>
    <w:rsid w:val="00AC4D1C"/>
    <w:rsid w:val="00AC64A6"/>
    <w:rsid w:val="00AD4655"/>
    <w:rsid w:val="00AD637C"/>
    <w:rsid w:val="00AD6F43"/>
    <w:rsid w:val="00AE0C8C"/>
    <w:rsid w:val="00AE3767"/>
    <w:rsid w:val="00AE4690"/>
    <w:rsid w:val="00AE4C45"/>
    <w:rsid w:val="00AE7B0F"/>
    <w:rsid w:val="00AF0676"/>
    <w:rsid w:val="00AF2613"/>
    <w:rsid w:val="00AF26DB"/>
    <w:rsid w:val="00AF284A"/>
    <w:rsid w:val="00AF2B29"/>
    <w:rsid w:val="00AF3523"/>
    <w:rsid w:val="00AF6CC7"/>
    <w:rsid w:val="00AF7E88"/>
    <w:rsid w:val="00B003A4"/>
    <w:rsid w:val="00B014CD"/>
    <w:rsid w:val="00B014F7"/>
    <w:rsid w:val="00B02D52"/>
    <w:rsid w:val="00B03833"/>
    <w:rsid w:val="00B04B9B"/>
    <w:rsid w:val="00B05A73"/>
    <w:rsid w:val="00B05C66"/>
    <w:rsid w:val="00B06065"/>
    <w:rsid w:val="00B0662B"/>
    <w:rsid w:val="00B07C0D"/>
    <w:rsid w:val="00B10476"/>
    <w:rsid w:val="00B172C9"/>
    <w:rsid w:val="00B20478"/>
    <w:rsid w:val="00B206AB"/>
    <w:rsid w:val="00B22F4B"/>
    <w:rsid w:val="00B247EE"/>
    <w:rsid w:val="00B24D50"/>
    <w:rsid w:val="00B25281"/>
    <w:rsid w:val="00B26B82"/>
    <w:rsid w:val="00B2793F"/>
    <w:rsid w:val="00B27E7C"/>
    <w:rsid w:val="00B30AF4"/>
    <w:rsid w:val="00B30F41"/>
    <w:rsid w:val="00B31737"/>
    <w:rsid w:val="00B342A7"/>
    <w:rsid w:val="00B3642A"/>
    <w:rsid w:val="00B36D33"/>
    <w:rsid w:val="00B4009F"/>
    <w:rsid w:val="00B427DB"/>
    <w:rsid w:val="00B4421C"/>
    <w:rsid w:val="00B47284"/>
    <w:rsid w:val="00B50367"/>
    <w:rsid w:val="00B53C39"/>
    <w:rsid w:val="00B5565A"/>
    <w:rsid w:val="00B56ED4"/>
    <w:rsid w:val="00B611C7"/>
    <w:rsid w:val="00B61438"/>
    <w:rsid w:val="00B615D4"/>
    <w:rsid w:val="00B619AB"/>
    <w:rsid w:val="00B6219B"/>
    <w:rsid w:val="00B62759"/>
    <w:rsid w:val="00B65835"/>
    <w:rsid w:val="00B66BC5"/>
    <w:rsid w:val="00B671FF"/>
    <w:rsid w:val="00B67F5D"/>
    <w:rsid w:val="00B70845"/>
    <w:rsid w:val="00B7282D"/>
    <w:rsid w:val="00B73C6E"/>
    <w:rsid w:val="00B74C97"/>
    <w:rsid w:val="00B8603B"/>
    <w:rsid w:val="00B87BFF"/>
    <w:rsid w:val="00B90706"/>
    <w:rsid w:val="00B9084B"/>
    <w:rsid w:val="00B93612"/>
    <w:rsid w:val="00B94E41"/>
    <w:rsid w:val="00B9539F"/>
    <w:rsid w:val="00B955D7"/>
    <w:rsid w:val="00B9656E"/>
    <w:rsid w:val="00BA073D"/>
    <w:rsid w:val="00BA117F"/>
    <w:rsid w:val="00BA239F"/>
    <w:rsid w:val="00BA5444"/>
    <w:rsid w:val="00BA5902"/>
    <w:rsid w:val="00BA6165"/>
    <w:rsid w:val="00BA7FB1"/>
    <w:rsid w:val="00BB3D47"/>
    <w:rsid w:val="00BB5364"/>
    <w:rsid w:val="00BB59D7"/>
    <w:rsid w:val="00BB5B56"/>
    <w:rsid w:val="00BB6CE3"/>
    <w:rsid w:val="00BB78A3"/>
    <w:rsid w:val="00BC22A5"/>
    <w:rsid w:val="00BC44BD"/>
    <w:rsid w:val="00BC46A6"/>
    <w:rsid w:val="00BC68E0"/>
    <w:rsid w:val="00BC78E0"/>
    <w:rsid w:val="00BC7EA1"/>
    <w:rsid w:val="00BD3F76"/>
    <w:rsid w:val="00BD5ADA"/>
    <w:rsid w:val="00BD6A3F"/>
    <w:rsid w:val="00BE41B3"/>
    <w:rsid w:val="00BE49A6"/>
    <w:rsid w:val="00BF1CAF"/>
    <w:rsid w:val="00BF1F16"/>
    <w:rsid w:val="00BF4273"/>
    <w:rsid w:val="00BF4F70"/>
    <w:rsid w:val="00BF5E5F"/>
    <w:rsid w:val="00BF607F"/>
    <w:rsid w:val="00C00639"/>
    <w:rsid w:val="00C008F5"/>
    <w:rsid w:val="00C03E58"/>
    <w:rsid w:val="00C04867"/>
    <w:rsid w:val="00C04AE5"/>
    <w:rsid w:val="00C07E6A"/>
    <w:rsid w:val="00C10265"/>
    <w:rsid w:val="00C102C7"/>
    <w:rsid w:val="00C10453"/>
    <w:rsid w:val="00C10540"/>
    <w:rsid w:val="00C10CF2"/>
    <w:rsid w:val="00C12747"/>
    <w:rsid w:val="00C1611B"/>
    <w:rsid w:val="00C16416"/>
    <w:rsid w:val="00C16D71"/>
    <w:rsid w:val="00C219CB"/>
    <w:rsid w:val="00C22B65"/>
    <w:rsid w:val="00C241D3"/>
    <w:rsid w:val="00C24A23"/>
    <w:rsid w:val="00C26C29"/>
    <w:rsid w:val="00C30031"/>
    <w:rsid w:val="00C30046"/>
    <w:rsid w:val="00C30372"/>
    <w:rsid w:val="00C31068"/>
    <w:rsid w:val="00C320B2"/>
    <w:rsid w:val="00C344CB"/>
    <w:rsid w:val="00C3467B"/>
    <w:rsid w:val="00C356F1"/>
    <w:rsid w:val="00C40300"/>
    <w:rsid w:val="00C40BBF"/>
    <w:rsid w:val="00C40FA9"/>
    <w:rsid w:val="00C443DF"/>
    <w:rsid w:val="00C4444A"/>
    <w:rsid w:val="00C45E35"/>
    <w:rsid w:val="00C46CF9"/>
    <w:rsid w:val="00C50BAD"/>
    <w:rsid w:val="00C53A02"/>
    <w:rsid w:val="00C53B2F"/>
    <w:rsid w:val="00C53CFE"/>
    <w:rsid w:val="00C54E34"/>
    <w:rsid w:val="00C563C8"/>
    <w:rsid w:val="00C62047"/>
    <w:rsid w:val="00C62EB1"/>
    <w:rsid w:val="00C640F9"/>
    <w:rsid w:val="00C7037B"/>
    <w:rsid w:val="00C70933"/>
    <w:rsid w:val="00C73BB0"/>
    <w:rsid w:val="00C7588A"/>
    <w:rsid w:val="00C7588C"/>
    <w:rsid w:val="00C764EE"/>
    <w:rsid w:val="00C76F1B"/>
    <w:rsid w:val="00C836DA"/>
    <w:rsid w:val="00C84542"/>
    <w:rsid w:val="00C85EE7"/>
    <w:rsid w:val="00C8692B"/>
    <w:rsid w:val="00C86AC0"/>
    <w:rsid w:val="00C928CD"/>
    <w:rsid w:val="00C92EB5"/>
    <w:rsid w:val="00C9682F"/>
    <w:rsid w:val="00C970EB"/>
    <w:rsid w:val="00C97E6E"/>
    <w:rsid w:val="00C97F03"/>
    <w:rsid w:val="00CA3289"/>
    <w:rsid w:val="00CA5F81"/>
    <w:rsid w:val="00CB141B"/>
    <w:rsid w:val="00CB14D5"/>
    <w:rsid w:val="00CB4BB2"/>
    <w:rsid w:val="00CB59A8"/>
    <w:rsid w:val="00CB6690"/>
    <w:rsid w:val="00CB77A4"/>
    <w:rsid w:val="00CC0AB8"/>
    <w:rsid w:val="00CC0FFF"/>
    <w:rsid w:val="00CC2457"/>
    <w:rsid w:val="00CD0854"/>
    <w:rsid w:val="00CD2682"/>
    <w:rsid w:val="00CE29EE"/>
    <w:rsid w:val="00CE2E9C"/>
    <w:rsid w:val="00CE56E8"/>
    <w:rsid w:val="00CE6EC1"/>
    <w:rsid w:val="00CF0124"/>
    <w:rsid w:val="00CF17C8"/>
    <w:rsid w:val="00CF4592"/>
    <w:rsid w:val="00CF6DDD"/>
    <w:rsid w:val="00CF7E64"/>
    <w:rsid w:val="00D01B53"/>
    <w:rsid w:val="00D02F29"/>
    <w:rsid w:val="00D03C10"/>
    <w:rsid w:val="00D05301"/>
    <w:rsid w:val="00D07742"/>
    <w:rsid w:val="00D0795E"/>
    <w:rsid w:val="00D07E6B"/>
    <w:rsid w:val="00D1028C"/>
    <w:rsid w:val="00D11722"/>
    <w:rsid w:val="00D1317E"/>
    <w:rsid w:val="00D14118"/>
    <w:rsid w:val="00D1443D"/>
    <w:rsid w:val="00D157FA"/>
    <w:rsid w:val="00D16110"/>
    <w:rsid w:val="00D21FBE"/>
    <w:rsid w:val="00D223B3"/>
    <w:rsid w:val="00D25238"/>
    <w:rsid w:val="00D25694"/>
    <w:rsid w:val="00D256A7"/>
    <w:rsid w:val="00D256B2"/>
    <w:rsid w:val="00D30A3D"/>
    <w:rsid w:val="00D3329C"/>
    <w:rsid w:val="00D340EB"/>
    <w:rsid w:val="00D3447D"/>
    <w:rsid w:val="00D34AE4"/>
    <w:rsid w:val="00D34CB0"/>
    <w:rsid w:val="00D35F63"/>
    <w:rsid w:val="00D36066"/>
    <w:rsid w:val="00D36EB4"/>
    <w:rsid w:val="00D409F1"/>
    <w:rsid w:val="00D40F74"/>
    <w:rsid w:val="00D4143C"/>
    <w:rsid w:val="00D44A90"/>
    <w:rsid w:val="00D452BF"/>
    <w:rsid w:val="00D46A6D"/>
    <w:rsid w:val="00D47FA4"/>
    <w:rsid w:val="00D5191C"/>
    <w:rsid w:val="00D52362"/>
    <w:rsid w:val="00D55D46"/>
    <w:rsid w:val="00D5680D"/>
    <w:rsid w:val="00D56826"/>
    <w:rsid w:val="00D568A1"/>
    <w:rsid w:val="00D57A46"/>
    <w:rsid w:val="00D63108"/>
    <w:rsid w:val="00D63FDA"/>
    <w:rsid w:val="00D651A5"/>
    <w:rsid w:val="00D66E41"/>
    <w:rsid w:val="00D67B8F"/>
    <w:rsid w:val="00D70A3C"/>
    <w:rsid w:val="00D7369F"/>
    <w:rsid w:val="00D77101"/>
    <w:rsid w:val="00D804B2"/>
    <w:rsid w:val="00D8102C"/>
    <w:rsid w:val="00D82783"/>
    <w:rsid w:val="00D8283D"/>
    <w:rsid w:val="00D879BB"/>
    <w:rsid w:val="00D95548"/>
    <w:rsid w:val="00D9567F"/>
    <w:rsid w:val="00D9690B"/>
    <w:rsid w:val="00DA02F2"/>
    <w:rsid w:val="00DA1C3D"/>
    <w:rsid w:val="00DA2630"/>
    <w:rsid w:val="00DA4509"/>
    <w:rsid w:val="00DA5FC1"/>
    <w:rsid w:val="00DA7B4B"/>
    <w:rsid w:val="00DA7F54"/>
    <w:rsid w:val="00DB0E2E"/>
    <w:rsid w:val="00DB24C5"/>
    <w:rsid w:val="00DB315A"/>
    <w:rsid w:val="00DB4BB3"/>
    <w:rsid w:val="00DB61FC"/>
    <w:rsid w:val="00DC101C"/>
    <w:rsid w:val="00DC2001"/>
    <w:rsid w:val="00DC587B"/>
    <w:rsid w:val="00DD20BD"/>
    <w:rsid w:val="00DD2D7F"/>
    <w:rsid w:val="00DD77BF"/>
    <w:rsid w:val="00DE3611"/>
    <w:rsid w:val="00DE3D4D"/>
    <w:rsid w:val="00DE71E1"/>
    <w:rsid w:val="00DF277C"/>
    <w:rsid w:val="00DF44FA"/>
    <w:rsid w:val="00E0198F"/>
    <w:rsid w:val="00E03019"/>
    <w:rsid w:val="00E034AC"/>
    <w:rsid w:val="00E06CEB"/>
    <w:rsid w:val="00E1171B"/>
    <w:rsid w:val="00E11884"/>
    <w:rsid w:val="00E12359"/>
    <w:rsid w:val="00E123B4"/>
    <w:rsid w:val="00E136C2"/>
    <w:rsid w:val="00E13F9F"/>
    <w:rsid w:val="00E14C93"/>
    <w:rsid w:val="00E158E9"/>
    <w:rsid w:val="00E15DFA"/>
    <w:rsid w:val="00E17E9E"/>
    <w:rsid w:val="00E21ECF"/>
    <w:rsid w:val="00E24129"/>
    <w:rsid w:val="00E24AB8"/>
    <w:rsid w:val="00E25036"/>
    <w:rsid w:val="00E26937"/>
    <w:rsid w:val="00E30518"/>
    <w:rsid w:val="00E30F40"/>
    <w:rsid w:val="00E33715"/>
    <w:rsid w:val="00E33E08"/>
    <w:rsid w:val="00E34142"/>
    <w:rsid w:val="00E351DA"/>
    <w:rsid w:val="00E450AC"/>
    <w:rsid w:val="00E464CD"/>
    <w:rsid w:val="00E517F7"/>
    <w:rsid w:val="00E53683"/>
    <w:rsid w:val="00E53E3C"/>
    <w:rsid w:val="00E55B26"/>
    <w:rsid w:val="00E567AA"/>
    <w:rsid w:val="00E61222"/>
    <w:rsid w:val="00E61945"/>
    <w:rsid w:val="00E64618"/>
    <w:rsid w:val="00E671D2"/>
    <w:rsid w:val="00E6743A"/>
    <w:rsid w:val="00E67C39"/>
    <w:rsid w:val="00E67CCF"/>
    <w:rsid w:val="00E67E7C"/>
    <w:rsid w:val="00E708D8"/>
    <w:rsid w:val="00E7354D"/>
    <w:rsid w:val="00E755F3"/>
    <w:rsid w:val="00E77333"/>
    <w:rsid w:val="00E80130"/>
    <w:rsid w:val="00E8185E"/>
    <w:rsid w:val="00E85567"/>
    <w:rsid w:val="00E864F2"/>
    <w:rsid w:val="00E875F7"/>
    <w:rsid w:val="00E879D8"/>
    <w:rsid w:val="00E87A92"/>
    <w:rsid w:val="00E90C8F"/>
    <w:rsid w:val="00E931DB"/>
    <w:rsid w:val="00E94B46"/>
    <w:rsid w:val="00E95A18"/>
    <w:rsid w:val="00E973E5"/>
    <w:rsid w:val="00EA02EF"/>
    <w:rsid w:val="00EA2280"/>
    <w:rsid w:val="00EA34E1"/>
    <w:rsid w:val="00EA397A"/>
    <w:rsid w:val="00EA4165"/>
    <w:rsid w:val="00EA54A5"/>
    <w:rsid w:val="00EA54BD"/>
    <w:rsid w:val="00EA7024"/>
    <w:rsid w:val="00EB05F1"/>
    <w:rsid w:val="00EB3230"/>
    <w:rsid w:val="00EB3899"/>
    <w:rsid w:val="00EB4EB6"/>
    <w:rsid w:val="00EB5373"/>
    <w:rsid w:val="00EC1A10"/>
    <w:rsid w:val="00EC2495"/>
    <w:rsid w:val="00EC26EC"/>
    <w:rsid w:val="00EC2A4C"/>
    <w:rsid w:val="00EC3895"/>
    <w:rsid w:val="00EC44CC"/>
    <w:rsid w:val="00EC509D"/>
    <w:rsid w:val="00EC5B14"/>
    <w:rsid w:val="00EC5BBE"/>
    <w:rsid w:val="00EC7717"/>
    <w:rsid w:val="00EC78CD"/>
    <w:rsid w:val="00EC79CE"/>
    <w:rsid w:val="00ED045C"/>
    <w:rsid w:val="00ED118D"/>
    <w:rsid w:val="00ED1324"/>
    <w:rsid w:val="00ED35E0"/>
    <w:rsid w:val="00ED57F7"/>
    <w:rsid w:val="00EE31A1"/>
    <w:rsid w:val="00EE3582"/>
    <w:rsid w:val="00EE42A2"/>
    <w:rsid w:val="00EE6457"/>
    <w:rsid w:val="00EE6CE6"/>
    <w:rsid w:val="00EF11E3"/>
    <w:rsid w:val="00EF2606"/>
    <w:rsid w:val="00EF2788"/>
    <w:rsid w:val="00EF284F"/>
    <w:rsid w:val="00EF3072"/>
    <w:rsid w:val="00EF3ACF"/>
    <w:rsid w:val="00EF3CDC"/>
    <w:rsid w:val="00EF4894"/>
    <w:rsid w:val="00EF4E28"/>
    <w:rsid w:val="00EF515E"/>
    <w:rsid w:val="00EF545C"/>
    <w:rsid w:val="00EF7FC5"/>
    <w:rsid w:val="00F018A6"/>
    <w:rsid w:val="00F04F8D"/>
    <w:rsid w:val="00F06AFF"/>
    <w:rsid w:val="00F07050"/>
    <w:rsid w:val="00F0716A"/>
    <w:rsid w:val="00F102CD"/>
    <w:rsid w:val="00F11F50"/>
    <w:rsid w:val="00F132D9"/>
    <w:rsid w:val="00F1364F"/>
    <w:rsid w:val="00F15DDF"/>
    <w:rsid w:val="00F17105"/>
    <w:rsid w:val="00F214DC"/>
    <w:rsid w:val="00F2284D"/>
    <w:rsid w:val="00F23C17"/>
    <w:rsid w:val="00F23CFC"/>
    <w:rsid w:val="00F27F4A"/>
    <w:rsid w:val="00F30124"/>
    <w:rsid w:val="00F31D45"/>
    <w:rsid w:val="00F34B70"/>
    <w:rsid w:val="00F45816"/>
    <w:rsid w:val="00F45A79"/>
    <w:rsid w:val="00F46BAA"/>
    <w:rsid w:val="00F53272"/>
    <w:rsid w:val="00F63989"/>
    <w:rsid w:val="00F657F1"/>
    <w:rsid w:val="00F65A7D"/>
    <w:rsid w:val="00F66278"/>
    <w:rsid w:val="00F6761A"/>
    <w:rsid w:val="00F70209"/>
    <w:rsid w:val="00F702BA"/>
    <w:rsid w:val="00F72C47"/>
    <w:rsid w:val="00F72D83"/>
    <w:rsid w:val="00F73421"/>
    <w:rsid w:val="00F73BDF"/>
    <w:rsid w:val="00F84342"/>
    <w:rsid w:val="00F8441E"/>
    <w:rsid w:val="00F87B07"/>
    <w:rsid w:val="00F87D58"/>
    <w:rsid w:val="00F924E8"/>
    <w:rsid w:val="00F97815"/>
    <w:rsid w:val="00FA29EF"/>
    <w:rsid w:val="00FA383D"/>
    <w:rsid w:val="00FA3CF7"/>
    <w:rsid w:val="00FA4B5F"/>
    <w:rsid w:val="00FB1141"/>
    <w:rsid w:val="00FB2DAD"/>
    <w:rsid w:val="00FB4BF1"/>
    <w:rsid w:val="00FB4BF5"/>
    <w:rsid w:val="00FB5724"/>
    <w:rsid w:val="00FC0832"/>
    <w:rsid w:val="00FC1C57"/>
    <w:rsid w:val="00FC799C"/>
    <w:rsid w:val="00FC7E87"/>
    <w:rsid w:val="00FD0924"/>
    <w:rsid w:val="00FD0C2E"/>
    <w:rsid w:val="00FD34E1"/>
    <w:rsid w:val="00FD4AD6"/>
    <w:rsid w:val="00FD5C7B"/>
    <w:rsid w:val="00FD5ECD"/>
    <w:rsid w:val="00FD65E0"/>
    <w:rsid w:val="00FD7476"/>
    <w:rsid w:val="00FD7781"/>
    <w:rsid w:val="00FE1154"/>
    <w:rsid w:val="00FE23AD"/>
    <w:rsid w:val="00FE5574"/>
    <w:rsid w:val="00FE7732"/>
    <w:rsid w:val="00FF43E3"/>
    <w:rsid w:val="00FF514B"/>
    <w:rsid w:val="07CF0791"/>
    <w:rsid w:val="3809F3CB"/>
    <w:rsid w:val="3EB4F71A"/>
    <w:rsid w:val="73D7114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5A940"/>
  <w15:docId w15:val="{31D8ED2E-B029-4E36-9C50-499D430F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D1929"/>
    <w:pPr>
      <w:spacing w:after="200" w:line="276" w:lineRule="auto"/>
    </w:pPr>
    <w:rPr>
      <w:rFonts w:ascii="Calibri" w:eastAsia="Calibri" w:hAnsi="Calibri" w:cs="Times New Roman"/>
    </w:rPr>
  </w:style>
  <w:style w:type="paragraph" w:styleId="Titolo1">
    <w:name w:val="heading 1"/>
    <w:basedOn w:val="Normale"/>
    <w:next w:val="Normale"/>
    <w:link w:val="Titolo1Carattere"/>
    <w:uiPriority w:val="9"/>
    <w:qFormat/>
    <w:rsid w:val="002B76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B76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D6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A255D8"/>
    <w:pPr>
      <w:keepNext/>
      <w:keepLines/>
      <w:spacing w:before="200" w:after="0"/>
      <w:outlineLvl w:val="3"/>
    </w:pPr>
    <w:rPr>
      <w:rFonts w:asciiTheme="majorHAnsi" w:eastAsiaTheme="majorEastAsia" w:hAnsiTheme="majorHAnsi" w:cstheme="majorBidi"/>
      <w:b/>
      <w:bCs/>
      <w:i/>
      <w:iCs/>
      <w:color w:val="5B9BD5" w:themeColor="accent1"/>
      <w:lang w:val="sl-SI"/>
    </w:rPr>
  </w:style>
  <w:style w:type="paragraph" w:styleId="Titolo5">
    <w:name w:val="heading 5"/>
    <w:basedOn w:val="Normale"/>
    <w:next w:val="Normale"/>
    <w:link w:val="Titolo5Carattere"/>
    <w:uiPriority w:val="9"/>
    <w:unhideWhenUsed/>
    <w:qFormat/>
    <w:rsid w:val="00D879B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sid w:val="006D1929"/>
    <w:rPr>
      <w:color w:val="0000FF"/>
      <w:u w:val="single"/>
    </w:rPr>
  </w:style>
  <w:style w:type="character" w:styleId="Rimandocommento">
    <w:name w:val="annotation reference"/>
    <w:basedOn w:val="Carpredefinitoparagrafo"/>
    <w:uiPriority w:val="99"/>
    <w:semiHidden/>
    <w:unhideWhenUsed/>
    <w:rsid w:val="004771EC"/>
    <w:rPr>
      <w:sz w:val="16"/>
      <w:szCs w:val="16"/>
    </w:rPr>
  </w:style>
  <w:style w:type="paragraph" w:styleId="Testocommento">
    <w:name w:val="annotation text"/>
    <w:basedOn w:val="Normale"/>
    <w:link w:val="TestocommentoCarattere"/>
    <w:uiPriority w:val="99"/>
    <w:semiHidden/>
    <w:unhideWhenUsed/>
    <w:rsid w:val="004771EC"/>
    <w:pPr>
      <w:spacing w:after="160" w:line="240" w:lineRule="auto"/>
    </w:pPr>
    <w:rPr>
      <w:rFonts w:asciiTheme="minorHAnsi" w:eastAsiaTheme="minorHAnsi" w:hAnsiTheme="minorHAnsi" w:cstheme="minorBidi"/>
      <w:sz w:val="20"/>
      <w:szCs w:val="20"/>
      <w:lang w:val="bg-BG"/>
    </w:rPr>
  </w:style>
  <w:style w:type="character" w:customStyle="1" w:styleId="TestocommentoCarattere">
    <w:name w:val="Testo commento Carattere"/>
    <w:basedOn w:val="Carpredefinitoparagrafo"/>
    <w:link w:val="Testocommento"/>
    <w:uiPriority w:val="99"/>
    <w:semiHidden/>
    <w:rsid w:val="004771EC"/>
    <w:rPr>
      <w:sz w:val="20"/>
      <w:szCs w:val="20"/>
      <w:lang w:val="bg-BG"/>
    </w:rPr>
  </w:style>
  <w:style w:type="paragraph" w:styleId="Testofumetto">
    <w:name w:val="Balloon Text"/>
    <w:basedOn w:val="Normale"/>
    <w:link w:val="TestofumettoCarattere"/>
    <w:uiPriority w:val="99"/>
    <w:semiHidden/>
    <w:unhideWhenUsed/>
    <w:rsid w:val="004771E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771EC"/>
    <w:rPr>
      <w:rFonts w:ascii="Segoe UI" w:eastAsia="Calibri" w:hAnsi="Segoe UI" w:cs="Segoe UI"/>
      <w:sz w:val="18"/>
      <w:szCs w:val="18"/>
    </w:rPr>
  </w:style>
  <w:style w:type="paragraph" w:styleId="Intestazione">
    <w:name w:val="header"/>
    <w:basedOn w:val="Normale"/>
    <w:link w:val="IntestazioneCarattere"/>
    <w:unhideWhenUsed/>
    <w:rsid w:val="004771EC"/>
    <w:pPr>
      <w:tabs>
        <w:tab w:val="center" w:pos="4536"/>
        <w:tab w:val="right" w:pos="9072"/>
      </w:tabs>
      <w:spacing w:after="0" w:line="240" w:lineRule="auto"/>
    </w:pPr>
  </w:style>
  <w:style w:type="character" w:customStyle="1" w:styleId="IntestazioneCarattere">
    <w:name w:val="Intestazione Carattere"/>
    <w:basedOn w:val="Carpredefinitoparagrafo"/>
    <w:link w:val="Intestazione"/>
    <w:rsid w:val="004771EC"/>
    <w:rPr>
      <w:rFonts w:ascii="Calibri" w:eastAsia="Calibri" w:hAnsi="Calibri" w:cs="Times New Roman"/>
    </w:rPr>
  </w:style>
  <w:style w:type="paragraph" w:styleId="Pidipagina">
    <w:name w:val="footer"/>
    <w:basedOn w:val="Normale"/>
    <w:link w:val="PidipaginaCarattere"/>
    <w:uiPriority w:val="99"/>
    <w:unhideWhenUsed/>
    <w:rsid w:val="004771EC"/>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4771EC"/>
    <w:rPr>
      <w:rFonts w:ascii="Calibri" w:eastAsia="Calibri" w:hAnsi="Calibri" w:cs="Times New Roman"/>
    </w:rPr>
  </w:style>
  <w:style w:type="paragraph" w:styleId="Soggettocommento">
    <w:name w:val="annotation subject"/>
    <w:basedOn w:val="Testocommento"/>
    <w:next w:val="Testocommento"/>
    <w:link w:val="SoggettocommentoCarattere"/>
    <w:uiPriority w:val="99"/>
    <w:semiHidden/>
    <w:unhideWhenUsed/>
    <w:rsid w:val="00340596"/>
    <w:pPr>
      <w:spacing w:after="200"/>
    </w:pPr>
    <w:rPr>
      <w:rFonts w:ascii="Calibri" w:eastAsia="Calibri" w:hAnsi="Calibri" w:cs="Times New Roman"/>
      <w:b/>
      <w:bCs/>
      <w:lang w:val="nl-NL"/>
    </w:rPr>
  </w:style>
  <w:style w:type="character" w:customStyle="1" w:styleId="SoggettocommentoCarattere">
    <w:name w:val="Soggetto commento Carattere"/>
    <w:basedOn w:val="TestocommentoCarattere"/>
    <w:link w:val="Soggettocommento"/>
    <w:uiPriority w:val="99"/>
    <w:semiHidden/>
    <w:rsid w:val="00340596"/>
    <w:rPr>
      <w:rFonts w:ascii="Calibri" w:eastAsia="Calibri" w:hAnsi="Calibri" w:cs="Times New Roman"/>
      <w:b/>
      <w:bCs/>
      <w:sz w:val="20"/>
      <w:szCs w:val="20"/>
      <w:lang w:val="bg-BG"/>
    </w:rPr>
  </w:style>
  <w:style w:type="paragraph" w:styleId="Testonotaapidipagina">
    <w:name w:val="footnote text"/>
    <w:basedOn w:val="Normale"/>
    <w:link w:val="TestonotaapidipaginaCarattere"/>
    <w:uiPriority w:val="99"/>
    <w:unhideWhenUsed/>
    <w:qFormat/>
    <w:rsid w:val="00965CB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qFormat/>
    <w:rsid w:val="00965CBA"/>
    <w:rPr>
      <w:rFonts w:ascii="Calibri" w:eastAsia="Calibri" w:hAnsi="Calibri" w:cs="Times New Roman"/>
      <w:sz w:val="20"/>
      <w:szCs w:val="20"/>
    </w:rPr>
  </w:style>
  <w:style w:type="character" w:styleId="Rimandonotaapidipagina">
    <w:name w:val="footnote reference"/>
    <w:basedOn w:val="Carpredefinitoparagrafo"/>
    <w:uiPriority w:val="99"/>
    <w:unhideWhenUsed/>
    <w:rsid w:val="00965CBA"/>
    <w:rPr>
      <w:vertAlign w:val="superscript"/>
    </w:rPr>
  </w:style>
  <w:style w:type="paragraph" w:styleId="Paragrafoelenco">
    <w:name w:val="List Paragraph"/>
    <w:basedOn w:val="Normale"/>
    <w:uiPriority w:val="34"/>
    <w:qFormat/>
    <w:rsid w:val="00965CBA"/>
    <w:pPr>
      <w:ind w:left="720"/>
      <w:contextualSpacing/>
    </w:pPr>
  </w:style>
  <w:style w:type="paragraph" w:customStyle="1" w:styleId="ZDGName">
    <w:name w:val="Z_DGName"/>
    <w:basedOn w:val="Normale"/>
    <w:uiPriority w:val="99"/>
    <w:rsid w:val="00BB5B56"/>
    <w:pPr>
      <w:widowControl w:val="0"/>
      <w:spacing w:after="0" w:line="240" w:lineRule="auto"/>
      <w:ind w:right="85"/>
      <w:jc w:val="both"/>
    </w:pPr>
    <w:rPr>
      <w:rFonts w:ascii="Arial" w:eastAsia="Times New Roman" w:hAnsi="Arial"/>
      <w:sz w:val="16"/>
      <w:szCs w:val="20"/>
      <w:lang w:val="en-GB" w:eastAsia="en-GB"/>
    </w:rPr>
  </w:style>
  <w:style w:type="character" w:styleId="Collegamentovisitato">
    <w:name w:val="FollowedHyperlink"/>
    <w:basedOn w:val="Carpredefinitoparagrafo"/>
    <w:uiPriority w:val="99"/>
    <w:semiHidden/>
    <w:unhideWhenUsed/>
    <w:rsid w:val="00A44A35"/>
    <w:rPr>
      <w:color w:val="954F72" w:themeColor="followedHyperlink"/>
      <w:u w:val="single"/>
    </w:rPr>
  </w:style>
  <w:style w:type="table" w:styleId="Elencochiaro-Colore1">
    <w:name w:val="Light List Accent 1"/>
    <w:basedOn w:val="Tabellanormale"/>
    <w:uiPriority w:val="61"/>
    <w:rsid w:val="00C4444A"/>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essunaspaziatura">
    <w:name w:val="No Spacing"/>
    <w:uiPriority w:val="1"/>
    <w:qFormat/>
    <w:rsid w:val="00C4444A"/>
    <w:pPr>
      <w:spacing w:after="0" w:line="240" w:lineRule="auto"/>
      <w:jc w:val="both"/>
    </w:pPr>
    <w:rPr>
      <w:rFonts w:ascii="Verdana" w:eastAsia="Times New Roman" w:hAnsi="Verdana" w:cs="Times New Roman"/>
      <w:sz w:val="18"/>
      <w:szCs w:val="20"/>
      <w:lang w:val="el-GR" w:eastAsia="el-GR"/>
    </w:rPr>
  </w:style>
  <w:style w:type="character" w:styleId="Enfasigrassetto">
    <w:name w:val="Strong"/>
    <w:basedOn w:val="Carpredefinitoparagrafo"/>
    <w:uiPriority w:val="22"/>
    <w:qFormat/>
    <w:rsid w:val="00C4444A"/>
    <w:rPr>
      <w:b/>
      <w:bCs/>
    </w:rPr>
  </w:style>
  <w:style w:type="character" w:styleId="Testosegnaposto">
    <w:name w:val="Placeholder Text"/>
    <w:basedOn w:val="Carpredefinitoparagrafo"/>
    <w:uiPriority w:val="99"/>
    <w:rsid w:val="003A0B0A"/>
    <w:rPr>
      <w:color w:val="808080"/>
    </w:rPr>
  </w:style>
  <w:style w:type="paragraph" w:styleId="NormaleWeb">
    <w:name w:val="Normal (Web)"/>
    <w:basedOn w:val="Normale"/>
    <w:uiPriority w:val="99"/>
    <w:unhideWhenUsed/>
    <w:rsid w:val="0090536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reference-text">
    <w:name w:val="reference-text"/>
    <w:basedOn w:val="Carpredefinitoparagrafo"/>
    <w:rsid w:val="00905366"/>
  </w:style>
  <w:style w:type="paragraph" w:styleId="Didascalia">
    <w:name w:val="caption"/>
    <w:basedOn w:val="Normale"/>
    <w:next w:val="Normale"/>
    <w:uiPriority w:val="35"/>
    <w:unhideWhenUsed/>
    <w:qFormat/>
    <w:rsid w:val="009E5564"/>
    <w:pPr>
      <w:spacing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2B764B"/>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B764B"/>
    <w:rPr>
      <w:rFonts w:asciiTheme="majorHAnsi" w:eastAsiaTheme="majorEastAsia" w:hAnsiTheme="majorHAnsi" w:cstheme="majorBidi"/>
      <w:color w:val="2E74B5" w:themeColor="accent1" w:themeShade="BF"/>
      <w:sz w:val="26"/>
      <w:szCs w:val="26"/>
    </w:rPr>
  </w:style>
  <w:style w:type="paragraph" w:styleId="PreformattatoHTML">
    <w:name w:val="HTML Preformatted"/>
    <w:basedOn w:val="Normale"/>
    <w:link w:val="PreformattatoHTMLCarattere"/>
    <w:uiPriority w:val="99"/>
    <w:unhideWhenUsed/>
    <w:qFormat/>
    <w:rsid w:val="005C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H" w:eastAsia="fr-CH"/>
    </w:rPr>
  </w:style>
  <w:style w:type="character" w:customStyle="1" w:styleId="PreformattatoHTMLCarattere">
    <w:name w:val="Preformattato HTML Carattere"/>
    <w:basedOn w:val="Carpredefinitoparagrafo"/>
    <w:link w:val="PreformattatoHTML"/>
    <w:uiPriority w:val="99"/>
    <w:qFormat/>
    <w:rsid w:val="005C02D2"/>
    <w:rPr>
      <w:rFonts w:ascii="Courier New" w:eastAsia="Times New Roman" w:hAnsi="Courier New" w:cs="Courier New"/>
      <w:sz w:val="20"/>
      <w:szCs w:val="20"/>
      <w:lang w:val="fr-CH" w:eastAsia="fr-CH"/>
    </w:rPr>
  </w:style>
  <w:style w:type="character" w:customStyle="1" w:styleId="gnkrckgcgsb">
    <w:name w:val="gnkrckgcgsb"/>
    <w:basedOn w:val="Carpredefinitoparagrafo"/>
    <w:rsid w:val="005C02D2"/>
  </w:style>
  <w:style w:type="table" w:styleId="Grigliatabella">
    <w:name w:val="Table Grid"/>
    <w:basedOn w:val="Tabellanormale"/>
    <w:uiPriority w:val="59"/>
    <w:rsid w:val="00A00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AD6F43"/>
    <w:pPr>
      <w:spacing w:line="259" w:lineRule="auto"/>
      <w:outlineLvl w:val="9"/>
    </w:pPr>
    <w:rPr>
      <w:lang w:val="fr-CH" w:eastAsia="fr-CH"/>
    </w:rPr>
  </w:style>
  <w:style w:type="paragraph" w:styleId="Sommario1">
    <w:name w:val="toc 1"/>
    <w:basedOn w:val="Normale"/>
    <w:next w:val="Normale"/>
    <w:autoRedefine/>
    <w:uiPriority w:val="39"/>
    <w:unhideWhenUsed/>
    <w:rsid w:val="00AD6F43"/>
    <w:pPr>
      <w:spacing w:after="100"/>
    </w:pPr>
  </w:style>
  <w:style w:type="paragraph" w:styleId="Sommario2">
    <w:name w:val="toc 2"/>
    <w:basedOn w:val="Normale"/>
    <w:next w:val="Normale"/>
    <w:autoRedefine/>
    <w:uiPriority w:val="39"/>
    <w:unhideWhenUsed/>
    <w:rsid w:val="00AD6F43"/>
    <w:pPr>
      <w:spacing w:after="100"/>
      <w:ind w:left="220"/>
    </w:pPr>
  </w:style>
  <w:style w:type="paragraph" w:styleId="Sottotitolo">
    <w:name w:val="Subtitle"/>
    <w:basedOn w:val="Normale"/>
    <w:next w:val="Normale"/>
    <w:link w:val="SottotitoloCarattere"/>
    <w:uiPriority w:val="11"/>
    <w:qFormat/>
    <w:rsid w:val="00AD6F4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AD6F43"/>
    <w:rPr>
      <w:rFonts w:eastAsiaTheme="minorEastAsia"/>
      <w:color w:val="5A5A5A" w:themeColor="text1" w:themeTint="A5"/>
      <w:spacing w:val="15"/>
    </w:rPr>
  </w:style>
  <w:style w:type="character" w:customStyle="1" w:styleId="Titolo3Carattere">
    <w:name w:val="Titolo 3 Carattere"/>
    <w:basedOn w:val="Carpredefinitoparagrafo"/>
    <w:link w:val="Titolo3"/>
    <w:uiPriority w:val="9"/>
    <w:rsid w:val="00AD6F43"/>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AD6F43"/>
    <w:pPr>
      <w:spacing w:after="100"/>
      <w:ind w:left="440"/>
    </w:pPr>
  </w:style>
  <w:style w:type="character" w:customStyle="1" w:styleId="Mentionnonrsolue1">
    <w:name w:val="Mention non résolue1"/>
    <w:basedOn w:val="Carpredefinitoparagrafo"/>
    <w:uiPriority w:val="99"/>
    <w:semiHidden/>
    <w:unhideWhenUsed/>
    <w:rsid w:val="0067504D"/>
    <w:rPr>
      <w:color w:val="605E5C"/>
      <w:shd w:val="clear" w:color="auto" w:fill="E1DFDD"/>
    </w:rPr>
  </w:style>
  <w:style w:type="paragraph" w:styleId="Indicedellefigure">
    <w:name w:val="table of figures"/>
    <w:basedOn w:val="Normale"/>
    <w:next w:val="Normale"/>
    <w:uiPriority w:val="99"/>
    <w:unhideWhenUsed/>
    <w:rsid w:val="00EF3ACF"/>
    <w:pPr>
      <w:spacing w:after="0"/>
    </w:pPr>
  </w:style>
  <w:style w:type="character" w:customStyle="1" w:styleId="MeniuneNerezolvat1">
    <w:name w:val="Mențiune Nerezolvat1"/>
    <w:basedOn w:val="Carpredefinitoparagrafo"/>
    <w:uiPriority w:val="99"/>
    <w:semiHidden/>
    <w:unhideWhenUsed/>
    <w:rsid w:val="005826F4"/>
    <w:rPr>
      <w:color w:val="605E5C"/>
      <w:shd w:val="clear" w:color="auto" w:fill="E1DFDD"/>
    </w:rPr>
  </w:style>
  <w:style w:type="character" w:customStyle="1" w:styleId="Titolo4Carattere">
    <w:name w:val="Titolo 4 Carattere"/>
    <w:basedOn w:val="Carpredefinitoparagrafo"/>
    <w:link w:val="Titolo4"/>
    <w:uiPriority w:val="9"/>
    <w:rsid w:val="00A255D8"/>
    <w:rPr>
      <w:rFonts w:asciiTheme="majorHAnsi" w:eastAsiaTheme="majorEastAsia" w:hAnsiTheme="majorHAnsi" w:cstheme="majorBidi"/>
      <w:b/>
      <w:bCs/>
      <w:i/>
      <w:iCs/>
      <w:color w:val="5B9BD5" w:themeColor="accent1"/>
      <w:lang w:val="sl-SI"/>
    </w:rPr>
  </w:style>
  <w:style w:type="character" w:customStyle="1" w:styleId="Titolo5Carattere">
    <w:name w:val="Titolo 5 Carattere"/>
    <w:basedOn w:val="Carpredefinitoparagrafo"/>
    <w:link w:val="Titolo5"/>
    <w:uiPriority w:val="9"/>
    <w:rsid w:val="00D879BB"/>
    <w:rPr>
      <w:rFonts w:asciiTheme="majorHAnsi" w:eastAsiaTheme="majorEastAsia" w:hAnsiTheme="majorHAnsi" w:cstheme="majorBidi"/>
      <w:color w:val="1F4D78" w:themeColor="accent1" w:themeShade="7F"/>
    </w:rPr>
  </w:style>
  <w:style w:type="paragraph" w:styleId="Corpotesto">
    <w:name w:val="Body Text"/>
    <w:basedOn w:val="Normale"/>
    <w:link w:val="CorpotestoCarattere"/>
    <w:uiPriority w:val="99"/>
    <w:unhideWhenUsed/>
    <w:rsid w:val="00D879BB"/>
    <w:pPr>
      <w:spacing w:after="120"/>
    </w:pPr>
    <w:rPr>
      <w:rFonts w:asciiTheme="minorHAnsi" w:eastAsiaTheme="minorHAnsi" w:hAnsiTheme="minorHAnsi" w:cstheme="minorBidi"/>
      <w:lang w:val="sl-SI"/>
    </w:rPr>
  </w:style>
  <w:style w:type="character" w:customStyle="1" w:styleId="CorpotestoCarattere">
    <w:name w:val="Corpo testo Carattere"/>
    <w:basedOn w:val="Carpredefinitoparagrafo"/>
    <w:link w:val="Corpotesto"/>
    <w:uiPriority w:val="99"/>
    <w:rsid w:val="00D879BB"/>
    <w:rPr>
      <w:lang w:val="sl-SI"/>
    </w:rPr>
  </w:style>
  <w:style w:type="paragraph" w:customStyle="1" w:styleId="Default">
    <w:name w:val="Default"/>
    <w:rsid w:val="00D11722"/>
    <w:pPr>
      <w:autoSpaceDE w:val="0"/>
      <w:autoSpaceDN w:val="0"/>
      <w:adjustRightInd w:val="0"/>
      <w:spacing w:after="0" w:line="240" w:lineRule="auto"/>
    </w:pPr>
    <w:rPr>
      <w:rFonts w:ascii="Calibri" w:hAnsi="Calibri" w:cs="Calibri"/>
      <w:color w:val="000000"/>
      <w:sz w:val="24"/>
      <w:szCs w:val="24"/>
      <w:lang w:val="it-IT"/>
    </w:rPr>
  </w:style>
  <w:style w:type="character" w:styleId="Enfasidelicata">
    <w:name w:val="Subtle Emphasis"/>
    <w:basedOn w:val="Carpredefinitoparagrafo"/>
    <w:uiPriority w:val="19"/>
    <w:qFormat/>
    <w:rsid w:val="004B2D8B"/>
    <w:rPr>
      <w:i/>
      <w:iCs/>
      <w:color w:val="808080" w:themeColor="text1" w:themeTint="7F"/>
    </w:rPr>
  </w:style>
  <w:style w:type="character" w:customStyle="1" w:styleId="Ancredenotedebasdepage">
    <w:name w:val="Ancre de note de bas de page"/>
    <w:rsid w:val="00436FC7"/>
    <w:rPr>
      <w:vertAlign w:val="superscript"/>
    </w:rPr>
  </w:style>
  <w:style w:type="character" w:customStyle="1" w:styleId="LienInternet">
    <w:name w:val="Lien Internet"/>
    <w:basedOn w:val="Carpredefinitoparagrafo"/>
    <w:uiPriority w:val="99"/>
    <w:semiHidden/>
    <w:unhideWhenUsed/>
    <w:rsid w:val="00436FC7"/>
    <w:rPr>
      <w:color w:val="0000FF"/>
      <w:u w:val="single"/>
    </w:rPr>
  </w:style>
  <w:style w:type="character" w:customStyle="1" w:styleId="Caractresdenotedebasdepage">
    <w:name w:val="Caractères de note de bas de page"/>
    <w:qFormat/>
    <w:rsid w:val="00436FC7"/>
  </w:style>
  <w:style w:type="paragraph" w:customStyle="1" w:styleId="Tabelltext">
    <w:name w:val="Tabelltext"/>
    <w:basedOn w:val="Normale"/>
    <w:uiPriority w:val="1"/>
    <w:qFormat/>
    <w:rsid w:val="00B62759"/>
    <w:pPr>
      <w:spacing w:after="0" w:line="240" w:lineRule="auto"/>
    </w:pPr>
    <w:rPr>
      <w:rFonts w:asciiTheme="majorHAnsi" w:eastAsiaTheme="minorEastAsia" w:hAnsiTheme="majorHAnsi" w:cstheme="minorBidi"/>
      <w:color w:val="44546A" w:themeColor="text2"/>
      <w:sz w:val="16"/>
      <w:szCs w:val="20"/>
      <w:lang w:val="sv-SE" w:eastAsia="zh-CN"/>
    </w:rPr>
  </w:style>
  <w:style w:type="paragraph" w:customStyle="1" w:styleId="Rubrikitabell">
    <w:name w:val="Rubrik i tabell"/>
    <w:basedOn w:val="Tabelltext"/>
    <w:next w:val="Tabelltext"/>
    <w:uiPriority w:val="1"/>
    <w:qFormat/>
    <w:rsid w:val="00B62759"/>
    <w:rPr>
      <w:b/>
    </w:rPr>
  </w:style>
  <w:style w:type="table" w:customStyle="1" w:styleId="Grilledetableauclaire1">
    <w:name w:val="Grille de tableau claire1"/>
    <w:basedOn w:val="Tabellanormale"/>
    <w:uiPriority w:val="40"/>
    <w:rsid w:val="00B62759"/>
    <w:pPr>
      <w:spacing w:after="0" w:line="240" w:lineRule="auto"/>
      <w:jc w:val="right"/>
    </w:pPr>
    <w:rPr>
      <w:rFonts w:asciiTheme="majorHAnsi" w:eastAsiaTheme="minorEastAsia" w:hAnsiTheme="majorHAnsi"/>
      <w:color w:val="44546A" w:themeColor="text2"/>
      <w:sz w:val="16"/>
      <w:szCs w:val="20"/>
      <w:lang w:val="sv-SE" w:eastAsia="zh-CN"/>
    </w:rPr>
    <w:tblPr>
      <w:tblStyleRowBandSize w:val="1"/>
      <w:tblStyleColBandSize w:val="1"/>
      <w:tblBorders>
        <w:top w:val="single" w:sz="12" w:space="0" w:color="44546A" w:themeColor="text2"/>
        <w:bottom w:val="single" w:sz="12" w:space="0" w:color="44546A" w:themeColor="text2"/>
        <w:insideH w:val="single" w:sz="4" w:space="0" w:color="44546A" w:themeColor="text2"/>
        <w:insideV w:val="single" w:sz="4" w:space="0" w:color="44546A" w:themeColor="text2"/>
      </w:tblBorders>
      <w:tblCellMar>
        <w:top w:w="57" w:type="dxa"/>
        <w:left w:w="85" w:type="dxa"/>
        <w:bottom w:w="85" w:type="dxa"/>
        <w:right w:w="85" w:type="dxa"/>
      </w:tblCellMar>
    </w:tblPr>
    <w:tblStylePr w:type="firstRow">
      <w:pPr>
        <w:wordWrap/>
        <w:spacing w:beforeLines="0" w:before="0" w:beforeAutospacing="0" w:afterLines="0" w:after="0" w:afterAutospacing="0" w:line="240" w:lineRule="auto"/>
        <w:jc w:val="right"/>
      </w:pPr>
      <w:rPr>
        <w:b/>
      </w:rPr>
      <w:tblPr/>
      <w:tcPr>
        <w:tcBorders>
          <w:top w:val="single" w:sz="12" w:space="0" w:color="44546A" w:themeColor="text2"/>
          <w:left w:val="nil"/>
          <w:bottom w:val="single" w:sz="12" w:space="0" w:color="44546A" w:themeColor="text2"/>
          <w:right w:val="nil"/>
          <w:insideH w:val="single" w:sz="4" w:space="0" w:color="44546A" w:themeColor="text2"/>
          <w:insideV w:val="single" w:sz="4" w:space="0" w:color="44546A" w:themeColor="text2"/>
        </w:tcBorders>
        <w:shd w:val="clear" w:color="auto" w:fill="FFFFFF" w:themeFill="background1"/>
      </w:tcPr>
    </w:tblStylePr>
    <w:tblStylePr w:type="lastRow">
      <w:tblPr/>
      <w:tcPr>
        <w:tcBorders>
          <w:top w:val="single" w:sz="12" w:space="0" w:color="44546A" w:themeColor="text2"/>
          <w:left w:val="nil"/>
          <w:insideH w:val="single" w:sz="4" w:space="0" w:color="44546A" w:themeColor="text2"/>
          <w:insideV w:val="single" w:sz="4" w:space="0" w:color="44546A" w:themeColor="text2"/>
        </w:tcBorders>
        <w:shd w:val="clear" w:color="auto" w:fill="FFFFFF" w:themeFill="background1"/>
      </w:tcPr>
    </w:tblStylePr>
    <w:tblStylePr w:type="firstCol">
      <w:pPr>
        <w:jc w:val="left"/>
      </w:pPr>
    </w:tblStylePr>
    <w:tblStylePr w:type="lastCol">
      <w:tblPr/>
      <w:tcPr>
        <w:tcBorders>
          <w:left w:val="single" w:sz="4" w:space="0" w:color="44546A" w:themeColor="text2"/>
        </w:tcBorders>
      </w:tcPr>
    </w:tblStylePr>
    <w:tblStylePr w:type="band2Vert">
      <w:tblPr/>
      <w:tcPr>
        <w:shd w:val="clear" w:color="auto" w:fill="EDEDFF"/>
      </w:tcPr>
    </w:tblStylePr>
    <w:tblStylePr w:type="band1Horz">
      <w:pPr>
        <w:wordWrap/>
        <w:spacing w:beforeLines="0" w:before="0" w:beforeAutospacing="0" w:afterLines="0" w:after="0" w:afterAutospacing="0" w:line="240" w:lineRule="auto"/>
      </w:pPr>
      <w:tblPr/>
      <w:tcPr>
        <w:shd w:val="clear" w:color="auto" w:fill="EDEDFF"/>
      </w:tcPr>
    </w:tblStylePr>
    <w:tblStylePr w:type="nwCell">
      <w:pPr>
        <w:jc w:val="left"/>
      </w:pPr>
      <w:tblPr/>
      <w:tcPr>
        <w:vAlign w:val="bottom"/>
      </w:tcPr>
    </w:tblStylePr>
  </w:style>
  <w:style w:type="paragraph" w:styleId="Bibliografia">
    <w:name w:val="Bibliography"/>
    <w:basedOn w:val="Normale"/>
    <w:next w:val="Normale"/>
    <w:uiPriority w:val="37"/>
    <w:unhideWhenUsed/>
    <w:rsid w:val="00EC5B14"/>
  </w:style>
  <w:style w:type="paragraph" w:styleId="Sommario4">
    <w:name w:val="toc 4"/>
    <w:basedOn w:val="Normale"/>
    <w:next w:val="Normale"/>
    <w:autoRedefine/>
    <w:uiPriority w:val="39"/>
    <w:unhideWhenUsed/>
    <w:rsid w:val="0050475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60731">
      <w:bodyDiv w:val="1"/>
      <w:marLeft w:val="0"/>
      <w:marRight w:val="0"/>
      <w:marTop w:val="0"/>
      <w:marBottom w:val="0"/>
      <w:divBdr>
        <w:top w:val="none" w:sz="0" w:space="0" w:color="auto"/>
        <w:left w:val="none" w:sz="0" w:space="0" w:color="auto"/>
        <w:bottom w:val="none" w:sz="0" w:space="0" w:color="auto"/>
        <w:right w:val="none" w:sz="0" w:space="0" w:color="auto"/>
      </w:divBdr>
      <w:divsChild>
        <w:div w:id="691036791">
          <w:marLeft w:val="2520"/>
          <w:marRight w:val="0"/>
          <w:marTop w:val="0"/>
          <w:marBottom w:val="320"/>
          <w:divBdr>
            <w:top w:val="none" w:sz="0" w:space="0" w:color="auto"/>
            <w:left w:val="none" w:sz="0" w:space="0" w:color="auto"/>
            <w:bottom w:val="none" w:sz="0" w:space="0" w:color="auto"/>
            <w:right w:val="none" w:sz="0" w:space="0" w:color="auto"/>
          </w:divBdr>
        </w:div>
      </w:divsChild>
    </w:div>
    <w:div w:id="174536307">
      <w:bodyDiv w:val="1"/>
      <w:marLeft w:val="0"/>
      <w:marRight w:val="0"/>
      <w:marTop w:val="0"/>
      <w:marBottom w:val="0"/>
      <w:divBdr>
        <w:top w:val="none" w:sz="0" w:space="0" w:color="auto"/>
        <w:left w:val="none" w:sz="0" w:space="0" w:color="auto"/>
        <w:bottom w:val="none" w:sz="0" w:space="0" w:color="auto"/>
        <w:right w:val="none" w:sz="0" w:space="0" w:color="auto"/>
      </w:divBdr>
      <w:divsChild>
        <w:div w:id="166754306">
          <w:marLeft w:val="0"/>
          <w:marRight w:val="0"/>
          <w:marTop w:val="0"/>
          <w:marBottom w:val="0"/>
          <w:divBdr>
            <w:top w:val="none" w:sz="0" w:space="0" w:color="auto"/>
            <w:left w:val="none" w:sz="0" w:space="0" w:color="auto"/>
            <w:bottom w:val="none" w:sz="0" w:space="0" w:color="auto"/>
            <w:right w:val="none" w:sz="0" w:space="0" w:color="auto"/>
          </w:divBdr>
        </w:div>
      </w:divsChild>
    </w:div>
    <w:div w:id="184902745">
      <w:bodyDiv w:val="1"/>
      <w:marLeft w:val="0"/>
      <w:marRight w:val="0"/>
      <w:marTop w:val="0"/>
      <w:marBottom w:val="0"/>
      <w:divBdr>
        <w:top w:val="none" w:sz="0" w:space="0" w:color="auto"/>
        <w:left w:val="none" w:sz="0" w:space="0" w:color="auto"/>
        <w:bottom w:val="none" w:sz="0" w:space="0" w:color="auto"/>
        <w:right w:val="none" w:sz="0" w:space="0" w:color="auto"/>
      </w:divBdr>
    </w:div>
    <w:div w:id="200553820">
      <w:bodyDiv w:val="1"/>
      <w:marLeft w:val="0"/>
      <w:marRight w:val="0"/>
      <w:marTop w:val="0"/>
      <w:marBottom w:val="0"/>
      <w:divBdr>
        <w:top w:val="none" w:sz="0" w:space="0" w:color="auto"/>
        <w:left w:val="none" w:sz="0" w:space="0" w:color="auto"/>
        <w:bottom w:val="none" w:sz="0" w:space="0" w:color="auto"/>
        <w:right w:val="none" w:sz="0" w:space="0" w:color="auto"/>
      </w:divBdr>
    </w:div>
    <w:div w:id="363403294">
      <w:bodyDiv w:val="1"/>
      <w:marLeft w:val="0"/>
      <w:marRight w:val="0"/>
      <w:marTop w:val="0"/>
      <w:marBottom w:val="0"/>
      <w:divBdr>
        <w:top w:val="none" w:sz="0" w:space="0" w:color="auto"/>
        <w:left w:val="none" w:sz="0" w:space="0" w:color="auto"/>
        <w:bottom w:val="none" w:sz="0" w:space="0" w:color="auto"/>
        <w:right w:val="none" w:sz="0" w:space="0" w:color="auto"/>
      </w:divBdr>
      <w:divsChild>
        <w:div w:id="1533228737">
          <w:marLeft w:val="1555"/>
          <w:marRight w:val="0"/>
          <w:marTop w:val="0"/>
          <w:marBottom w:val="160"/>
          <w:divBdr>
            <w:top w:val="none" w:sz="0" w:space="0" w:color="auto"/>
            <w:left w:val="none" w:sz="0" w:space="0" w:color="auto"/>
            <w:bottom w:val="none" w:sz="0" w:space="0" w:color="auto"/>
            <w:right w:val="none" w:sz="0" w:space="0" w:color="auto"/>
          </w:divBdr>
        </w:div>
        <w:div w:id="1353412551">
          <w:marLeft w:val="2520"/>
          <w:marRight w:val="0"/>
          <w:marTop w:val="0"/>
          <w:marBottom w:val="160"/>
          <w:divBdr>
            <w:top w:val="none" w:sz="0" w:space="0" w:color="auto"/>
            <w:left w:val="none" w:sz="0" w:space="0" w:color="auto"/>
            <w:bottom w:val="none" w:sz="0" w:space="0" w:color="auto"/>
            <w:right w:val="none" w:sz="0" w:space="0" w:color="auto"/>
          </w:divBdr>
        </w:div>
        <w:div w:id="365722319">
          <w:marLeft w:val="2520"/>
          <w:marRight w:val="0"/>
          <w:marTop w:val="0"/>
          <w:marBottom w:val="160"/>
          <w:divBdr>
            <w:top w:val="none" w:sz="0" w:space="0" w:color="auto"/>
            <w:left w:val="none" w:sz="0" w:space="0" w:color="auto"/>
            <w:bottom w:val="none" w:sz="0" w:space="0" w:color="auto"/>
            <w:right w:val="none" w:sz="0" w:space="0" w:color="auto"/>
          </w:divBdr>
        </w:div>
        <w:div w:id="1217006237">
          <w:marLeft w:val="1555"/>
          <w:marRight w:val="0"/>
          <w:marTop w:val="0"/>
          <w:marBottom w:val="160"/>
          <w:divBdr>
            <w:top w:val="none" w:sz="0" w:space="0" w:color="auto"/>
            <w:left w:val="none" w:sz="0" w:space="0" w:color="auto"/>
            <w:bottom w:val="none" w:sz="0" w:space="0" w:color="auto"/>
            <w:right w:val="none" w:sz="0" w:space="0" w:color="auto"/>
          </w:divBdr>
        </w:div>
        <w:div w:id="312292826">
          <w:marLeft w:val="1555"/>
          <w:marRight w:val="0"/>
          <w:marTop w:val="0"/>
          <w:marBottom w:val="160"/>
          <w:divBdr>
            <w:top w:val="none" w:sz="0" w:space="0" w:color="auto"/>
            <w:left w:val="none" w:sz="0" w:space="0" w:color="auto"/>
            <w:bottom w:val="none" w:sz="0" w:space="0" w:color="auto"/>
            <w:right w:val="none" w:sz="0" w:space="0" w:color="auto"/>
          </w:divBdr>
        </w:div>
      </w:divsChild>
    </w:div>
    <w:div w:id="380904350">
      <w:bodyDiv w:val="1"/>
      <w:marLeft w:val="0"/>
      <w:marRight w:val="0"/>
      <w:marTop w:val="0"/>
      <w:marBottom w:val="0"/>
      <w:divBdr>
        <w:top w:val="none" w:sz="0" w:space="0" w:color="auto"/>
        <w:left w:val="none" w:sz="0" w:space="0" w:color="auto"/>
        <w:bottom w:val="none" w:sz="0" w:space="0" w:color="auto"/>
        <w:right w:val="none" w:sz="0" w:space="0" w:color="auto"/>
      </w:divBdr>
    </w:div>
    <w:div w:id="423846741">
      <w:bodyDiv w:val="1"/>
      <w:marLeft w:val="0"/>
      <w:marRight w:val="0"/>
      <w:marTop w:val="0"/>
      <w:marBottom w:val="0"/>
      <w:divBdr>
        <w:top w:val="none" w:sz="0" w:space="0" w:color="auto"/>
        <w:left w:val="none" w:sz="0" w:space="0" w:color="auto"/>
        <w:bottom w:val="none" w:sz="0" w:space="0" w:color="auto"/>
        <w:right w:val="none" w:sz="0" w:space="0" w:color="auto"/>
      </w:divBdr>
    </w:div>
    <w:div w:id="442194370">
      <w:bodyDiv w:val="1"/>
      <w:marLeft w:val="0"/>
      <w:marRight w:val="0"/>
      <w:marTop w:val="0"/>
      <w:marBottom w:val="0"/>
      <w:divBdr>
        <w:top w:val="none" w:sz="0" w:space="0" w:color="auto"/>
        <w:left w:val="none" w:sz="0" w:space="0" w:color="auto"/>
        <w:bottom w:val="none" w:sz="0" w:space="0" w:color="auto"/>
        <w:right w:val="none" w:sz="0" w:space="0" w:color="auto"/>
      </w:divBdr>
    </w:div>
    <w:div w:id="568728648">
      <w:bodyDiv w:val="1"/>
      <w:marLeft w:val="0"/>
      <w:marRight w:val="0"/>
      <w:marTop w:val="0"/>
      <w:marBottom w:val="0"/>
      <w:divBdr>
        <w:top w:val="none" w:sz="0" w:space="0" w:color="auto"/>
        <w:left w:val="none" w:sz="0" w:space="0" w:color="auto"/>
        <w:bottom w:val="none" w:sz="0" w:space="0" w:color="auto"/>
        <w:right w:val="none" w:sz="0" w:space="0" w:color="auto"/>
      </w:divBdr>
    </w:div>
    <w:div w:id="598413927">
      <w:bodyDiv w:val="1"/>
      <w:marLeft w:val="0"/>
      <w:marRight w:val="0"/>
      <w:marTop w:val="0"/>
      <w:marBottom w:val="0"/>
      <w:divBdr>
        <w:top w:val="none" w:sz="0" w:space="0" w:color="auto"/>
        <w:left w:val="none" w:sz="0" w:space="0" w:color="auto"/>
        <w:bottom w:val="none" w:sz="0" w:space="0" w:color="auto"/>
        <w:right w:val="none" w:sz="0" w:space="0" w:color="auto"/>
      </w:divBdr>
    </w:div>
    <w:div w:id="647898713">
      <w:bodyDiv w:val="1"/>
      <w:marLeft w:val="0"/>
      <w:marRight w:val="0"/>
      <w:marTop w:val="0"/>
      <w:marBottom w:val="0"/>
      <w:divBdr>
        <w:top w:val="none" w:sz="0" w:space="0" w:color="auto"/>
        <w:left w:val="none" w:sz="0" w:space="0" w:color="auto"/>
        <w:bottom w:val="none" w:sz="0" w:space="0" w:color="auto"/>
        <w:right w:val="none" w:sz="0" w:space="0" w:color="auto"/>
      </w:divBdr>
    </w:div>
    <w:div w:id="671839689">
      <w:bodyDiv w:val="1"/>
      <w:marLeft w:val="0"/>
      <w:marRight w:val="0"/>
      <w:marTop w:val="0"/>
      <w:marBottom w:val="0"/>
      <w:divBdr>
        <w:top w:val="none" w:sz="0" w:space="0" w:color="auto"/>
        <w:left w:val="none" w:sz="0" w:space="0" w:color="auto"/>
        <w:bottom w:val="none" w:sz="0" w:space="0" w:color="auto"/>
        <w:right w:val="none" w:sz="0" w:space="0" w:color="auto"/>
      </w:divBdr>
    </w:div>
    <w:div w:id="805050015">
      <w:bodyDiv w:val="1"/>
      <w:marLeft w:val="0"/>
      <w:marRight w:val="0"/>
      <w:marTop w:val="0"/>
      <w:marBottom w:val="0"/>
      <w:divBdr>
        <w:top w:val="none" w:sz="0" w:space="0" w:color="auto"/>
        <w:left w:val="none" w:sz="0" w:space="0" w:color="auto"/>
        <w:bottom w:val="none" w:sz="0" w:space="0" w:color="auto"/>
        <w:right w:val="none" w:sz="0" w:space="0" w:color="auto"/>
      </w:divBdr>
    </w:div>
    <w:div w:id="942609852">
      <w:bodyDiv w:val="1"/>
      <w:marLeft w:val="0"/>
      <w:marRight w:val="0"/>
      <w:marTop w:val="0"/>
      <w:marBottom w:val="0"/>
      <w:divBdr>
        <w:top w:val="none" w:sz="0" w:space="0" w:color="auto"/>
        <w:left w:val="none" w:sz="0" w:space="0" w:color="auto"/>
        <w:bottom w:val="none" w:sz="0" w:space="0" w:color="auto"/>
        <w:right w:val="none" w:sz="0" w:space="0" w:color="auto"/>
      </w:divBdr>
    </w:div>
    <w:div w:id="1040085630">
      <w:bodyDiv w:val="1"/>
      <w:marLeft w:val="0"/>
      <w:marRight w:val="0"/>
      <w:marTop w:val="0"/>
      <w:marBottom w:val="0"/>
      <w:divBdr>
        <w:top w:val="none" w:sz="0" w:space="0" w:color="auto"/>
        <w:left w:val="none" w:sz="0" w:space="0" w:color="auto"/>
        <w:bottom w:val="none" w:sz="0" w:space="0" w:color="auto"/>
        <w:right w:val="none" w:sz="0" w:space="0" w:color="auto"/>
      </w:divBdr>
      <w:divsChild>
        <w:div w:id="457115260">
          <w:marLeft w:val="605"/>
          <w:marRight w:val="0"/>
          <w:marTop w:val="0"/>
          <w:marBottom w:val="320"/>
          <w:divBdr>
            <w:top w:val="none" w:sz="0" w:space="0" w:color="auto"/>
            <w:left w:val="none" w:sz="0" w:space="0" w:color="auto"/>
            <w:bottom w:val="none" w:sz="0" w:space="0" w:color="auto"/>
            <w:right w:val="none" w:sz="0" w:space="0" w:color="auto"/>
          </w:divBdr>
        </w:div>
      </w:divsChild>
    </w:div>
    <w:div w:id="1110277227">
      <w:bodyDiv w:val="1"/>
      <w:marLeft w:val="0"/>
      <w:marRight w:val="0"/>
      <w:marTop w:val="0"/>
      <w:marBottom w:val="0"/>
      <w:divBdr>
        <w:top w:val="none" w:sz="0" w:space="0" w:color="auto"/>
        <w:left w:val="none" w:sz="0" w:space="0" w:color="auto"/>
        <w:bottom w:val="none" w:sz="0" w:space="0" w:color="auto"/>
        <w:right w:val="none" w:sz="0" w:space="0" w:color="auto"/>
      </w:divBdr>
    </w:div>
    <w:div w:id="1235815271">
      <w:bodyDiv w:val="1"/>
      <w:marLeft w:val="0"/>
      <w:marRight w:val="0"/>
      <w:marTop w:val="0"/>
      <w:marBottom w:val="0"/>
      <w:divBdr>
        <w:top w:val="none" w:sz="0" w:space="0" w:color="auto"/>
        <w:left w:val="none" w:sz="0" w:space="0" w:color="auto"/>
        <w:bottom w:val="none" w:sz="0" w:space="0" w:color="auto"/>
        <w:right w:val="none" w:sz="0" w:space="0" w:color="auto"/>
      </w:divBdr>
    </w:div>
    <w:div w:id="1304887745">
      <w:bodyDiv w:val="1"/>
      <w:marLeft w:val="0"/>
      <w:marRight w:val="0"/>
      <w:marTop w:val="0"/>
      <w:marBottom w:val="0"/>
      <w:divBdr>
        <w:top w:val="none" w:sz="0" w:space="0" w:color="auto"/>
        <w:left w:val="none" w:sz="0" w:space="0" w:color="auto"/>
        <w:bottom w:val="none" w:sz="0" w:space="0" w:color="auto"/>
        <w:right w:val="none" w:sz="0" w:space="0" w:color="auto"/>
      </w:divBdr>
    </w:div>
    <w:div w:id="1482308624">
      <w:bodyDiv w:val="1"/>
      <w:marLeft w:val="0"/>
      <w:marRight w:val="0"/>
      <w:marTop w:val="0"/>
      <w:marBottom w:val="0"/>
      <w:divBdr>
        <w:top w:val="none" w:sz="0" w:space="0" w:color="auto"/>
        <w:left w:val="none" w:sz="0" w:space="0" w:color="auto"/>
        <w:bottom w:val="none" w:sz="0" w:space="0" w:color="auto"/>
        <w:right w:val="none" w:sz="0" w:space="0" w:color="auto"/>
      </w:divBdr>
    </w:div>
    <w:div w:id="1662541764">
      <w:bodyDiv w:val="1"/>
      <w:marLeft w:val="0"/>
      <w:marRight w:val="0"/>
      <w:marTop w:val="0"/>
      <w:marBottom w:val="0"/>
      <w:divBdr>
        <w:top w:val="none" w:sz="0" w:space="0" w:color="auto"/>
        <w:left w:val="none" w:sz="0" w:space="0" w:color="auto"/>
        <w:bottom w:val="none" w:sz="0" w:space="0" w:color="auto"/>
        <w:right w:val="none" w:sz="0" w:space="0" w:color="auto"/>
      </w:divBdr>
    </w:div>
    <w:div w:id="1769160459">
      <w:bodyDiv w:val="1"/>
      <w:marLeft w:val="0"/>
      <w:marRight w:val="0"/>
      <w:marTop w:val="0"/>
      <w:marBottom w:val="0"/>
      <w:divBdr>
        <w:top w:val="none" w:sz="0" w:space="0" w:color="auto"/>
        <w:left w:val="none" w:sz="0" w:space="0" w:color="auto"/>
        <w:bottom w:val="none" w:sz="0" w:space="0" w:color="auto"/>
        <w:right w:val="none" w:sz="0" w:space="0" w:color="auto"/>
      </w:divBdr>
    </w:div>
    <w:div w:id="1891527698">
      <w:bodyDiv w:val="1"/>
      <w:marLeft w:val="0"/>
      <w:marRight w:val="0"/>
      <w:marTop w:val="0"/>
      <w:marBottom w:val="0"/>
      <w:divBdr>
        <w:top w:val="none" w:sz="0" w:space="0" w:color="auto"/>
        <w:left w:val="none" w:sz="0" w:space="0" w:color="auto"/>
        <w:bottom w:val="none" w:sz="0" w:space="0" w:color="auto"/>
        <w:right w:val="none" w:sz="0" w:space="0" w:color="auto"/>
      </w:divBdr>
    </w:div>
    <w:div w:id="1977565199">
      <w:bodyDiv w:val="1"/>
      <w:marLeft w:val="0"/>
      <w:marRight w:val="0"/>
      <w:marTop w:val="0"/>
      <w:marBottom w:val="0"/>
      <w:divBdr>
        <w:top w:val="none" w:sz="0" w:space="0" w:color="auto"/>
        <w:left w:val="none" w:sz="0" w:space="0" w:color="auto"/>
        <w:bottom w:val="none" w:sz="0" w:space="0" w:color="auto"/>
        <w:right w:val="none" w:sz="0" w:space="0" w:color="auto"/>
      </w:divBdr>
    </w:div>
    <w:div w:id="1983537491">
      <w:bodyDiv w:val="1"/>
      <w:marLeft w:val="0"/>
      <w:marRight w:val="0"/>
      <w:marTop w:val="0"/>
      <w:marBottom w:val="0"/>
      <w:divBdr>
        <w:top w:val="none" w:sz="0" w:space="0" w:color="auto"/>
        <w:left w:val="none" w:sz="0" w:space="0" w:color="auto"/>
        <w:bottom w:val="none" w:sz="0" w:space="0" w:color="auto"/>
        <w:right w:val="none" w:sz="0" w:space="0" w:color="auto"/>
      </w:divBdr>
    </w:div>
    <w:div w:id="2030258019">
      <w:bodyDiv w:val="1"/>
      <w:marLeft w:val="0"/>
      <w:marRight w:val="0"/>
      <w:marTop w:val="0"/>
      <w:marBottom w:val="0"/>
      <w:divBdr>
        <w:top w:val="none" w:sz="0" w:space="0" w:color="auto"/>
        <w:left w:val="none" w:sz="0" w:space="0" w:color="auto"/>
        <w:bottom w:val="none" w:sz="0" w:space="0" w:color="auto"/>
        <w:right w:val="none" w:sz="0" w:space="0" w:color="auto"/>
      </w:divBdr>
    </w:div>
    <w:div w:id="2075812483">
      <w:bodyDiv w:val="1"/>
      <w:marLeft w:val="0"/>
      <w:marRight w:val="0"/>
      <w:marTop w:val="0"/>
      <w:marBottom w:val="0"/>
      <w:divBdr>
        <w:top w:val="none" w:sz="0" w:space="0" w:color="auto"/>
        <w:left w:val="none" w:sz="0" w:space="0" w:color="auto"/>
        <w:bottom w:val="none" w:sz="0" w:space="0" w:color="auto"/>
        <w:right w:val="none" w:sz="0" w:space="0" w:color="auto"/>
      </w:divBdr>
    </w:div>
    <w:div w:id="2107187691">
      <w:bodyDiv w:val="1"/>
      <w:marLeft w:val="0"/>
      <w:marRight w:val="0"/>
      <w:marTop w:val="0"/>
      <w:marBottom w:val="0"/>
      <w:divBdr>
        <w:top w:val="none" w:sz="0" w:space="0" w:color="auto"/>
        <w:left w:val="none" w:sz="0" w:space="0" w:color="auto"/>
        <w:bottom w:val="none" w:sz="0" w:space="0" w:color="auto"/>
        <w:right w:val="none" w:sz="0" w:space="0" w:color="auto"/>
      </w:divBdr>
    </w:div>
    <w:div w:id="210935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c.europa.eu/eurostat/cros/content/essnetbigdata_en" TargetMode="Externa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cros/content/essnetbigdata_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cid:FF0C5DD7075E7D43BCF4E4A2C0F6F5C8@ec.europa.eu" TargetMode="External"/><Relationship Id="rId14" Type="http://schemas.openxmlformats.org/officeDocument/2006/relationships/image" Target="media/image4.emf"/><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Foglio1!$G$4</c:f>
              <c:strCache>
                <c:ptCount val="1"/>
                <c:pt idx="0">
                  <c:v>Monthly </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Foglio1!$F$5:$F$23</c:f>
              <c:strCache>
                <c:ptCount val="19"/>
                <c:pt idx="1">
                  <c:v>7/18</c:v>
                </c:pt>
                <c:pt idx="2">
                  <c:v>8/18</c:v>
                </c:pt>
                <c:pt idx="3">
                  <c:v>9/18</c:v>
                </c:pt>
                <c:pt idx="4">
                  <c:v>10/18</c:v>
                </c:pt>
                <c:pt idx="5">
                  <c:v>11/18</c:v>
                </c:pt>
                <c:pt idx="6">
                  <c:v>12/18</c:v>
                </c:pt>
                <c:pt idx="7">
                  <c:v>1/19</c:v>
                </c:pt>
                <c:pt idx="8">
                  <c:v>2/19</c:v>
                </c:pt>
                <c:pt idx="9">
                  <c:v>3/19</c:v>
                </c:pt>
                <c:pt idx="10">
                  <c:v>4/19</c:v>
                </c:pt>
                <c:pt idx="11">
                  <c:v>5/19</c:v>
                </c:pt>
                <c:pt idx="12">
                  <c:v>6/19</c:v>
                </c:pt>
                <c:pt idx="13">
                  <c:v>7/19</c:v>
                </c:pt>
                <c:pt idx="14">
                  <c:v>8/19</c:v>
                </c:pt>
                <c:pt idx="15">
                  <c:v>9/19</c:v>
                </c:pt>
                <c:pt idx="16">
                  <c:v>10/19</c:v>
                </c:pt>
                <c:pt idx="17">
                  <c:v>11/19</c:v>
                </c:pt>
                <c:pt idx="18">
                  <c:v>12/19</c:v>
                </c:pt>
              </c:strCache>
            </c:strRef>
          </c:cat>
          <c:val>
            <c:numRef>
              <c:f>Foglio1!$G$5:$G$23</c:f>
              <c:numCache>
                <c:formatCode>General</c:formatCode>
                <c:ptCount val="19"/>
                <c:pt idx="1">
                  <c:v>1.3</c:v>
                </c:pt>
                <c:pt idx="2">
                  <c:v>0.9</c:v>
                </c:pt>
                <c:pt idx="3">
                  <c:v>1.4</c:v>
                </c:pt>
                <c:pt idx="4">
                  <c:v>1.2</c:v>
                </c:pt>
                <c:pt idx="5">
                  <c:v>1.2</c:v>
                </c:pt>
                <c:pt idx="6">
                  <c:v>0.9</c:v>
                </c:pt>
                <c:pt idx="7">
                  <c:v>2</c:v>
                </c:pt>
                <c:pt idx="8">
                  <c:v>1.7</c:v>
                </c:pt>
                <c:pt idx="9">
                  <c:v>1.4</c:v>
                </c:pt>
                <c:pt idx="10">
                  <c:v>1.4</c:v>
                </c:pt>
                <c:pt idx="11">
                  <c:v>1.5</c:v>
                </c:pt>
                <c:pt idx="12">
                  <c:v>1.3</c:v>
                </c:pt>
                <c:pt idx="13">
                  <c:v>1.3</c:v>
                </c:pt>
                <c:pt idx="14">
                  <c:v>0.7</c:v>
                </c:pt>
                <c:pt idx="15">
                  <c:v>2</c:v>
                </c:pt>
                <c:pt idx="16">
                  <c:v>1.3</c:v>
                </c:pt>
                <c:pt idx="17">
                  <c:v>1.1000000000000001</c:v>
                </c:pt>
                <c:pt idx="18">
                  <c:v>0.9</c:v>
                </c:pt>
              </c:numCache>
            </c:numRef>
          </c:val>
          <c:smooth val="0"/>
          <c:extLst>
            <c:ext xmlns:c16="http://schemas.microsoft.com/office/drawing/2014/chart" uri="{C3380CC4-5D6E-409C-BE32-E72D297353CC}">
              <c16:uniqueId val="{00000000-53BE-4375-99EB-82A3456367D8}"/>
            </c:ext>
          </c:extLst>
        </c:ser>
        <c:ser>
          <c:idx val="1"/>
          <c:order val="1"/>
          <c:tx>
            <c:strRef>
              <c:f>Foglio1!$H$4</c:f>
              <c:strCache>
                <c:ptCount val="1"/>
                <c:pt idx="0">
                  <c:v>Quarterly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Foglio1!$F$5:$F$23</c:f>
              <c:strCache>
                <c:ptCount val="19"/>
                <c:pt idx="1">
                  <c:v>7/18</c:v>
                </c:pt>
                <c:pt idx="2">
                  <c:v>8/18</c:v>
                </c:pt>
                <c:pt idx="3">
                  <c:v>9/18</c:v>
                </c:pt>
                <c:pt idx="4">
                  <c:v>10/18</c:v>
                </c:pt>
                <c:pt idx="5">
                  <c:v>11/18</c:v>
                </c:pt>
                <c:pt idx="6">
                  <c:v>12/18</c:v>
                </c:pt>
                <c:pt idx="7">
                  <c:v>1/19</c:v>
                </c:pt>
                <c:pt idx="8">
                  <c:v>2/19</c:v>
                </c:pt>
                <c:pt idx="9">
                  <c:v>3/19</c:v>
                </c:pt>
                <c:pt idx="10">
                  <c:v>4/19</c:v>
                </c:pt>
                <c:pt idx="11">
                  <c:v>5/19</c:v>
                </c:pt>
                <c:pt idx="12">
                  <c:v>6/19</c:v>
                </c:pt>
                <c:pt idx="13">
                  <c:v>7/19</c:v>
                </c:pt>
                <c:pt idx="14">
                  <c:v>8/19</c:v>
                </c:pt>
                <c:pt idx="15">
                  <c:v>9/19</c:v>
                </c:pt>
                <c:pt idx="16">
                  <c:v>10/19</c:v>
                </c:pt>
                <c:pt idx="17">
                  <c:v>11/19</c:v>
                </c:pt>
                <c:pt idx="18">
                  <c:v>12/19</c:v>
                </c:pt>
              </c:strCache>
            </c:strRef>
          </c:cat>
          <c:val>
            <c:numRef>
              <c:f>Foglio1!$H$5:$H$23</c:f>
              <c:numCache>
                <c:formatCode>General</c:formatCode>
                <c:ptCount val="19"/>
                <c:pt idx="1">
                  <c:v>1.2</c:v>
                </c:pt>
                <c:pt idx="2">
                  <c:v>1.2</c:v>
                </c:pt>
                <c:pt idx="3">
                  <c:v>1.2</c:v>
                </c:pt>
                <c:pt idx="4">
                  <c:v>1.1000000000000001</c:v>
                </c:pt>
                <c:pt idx="5">
                  <c:v>1.1000000000000001</c:v>
                </c:pt>
                <c:pt idx="6">
                  <c:v>1.1000000000000001</c:v>
                </c:pt>
                <c:pt idx="7">
                  <c:v>1.7</c:v>
                </c:pt>
                <c:pt idx="8">
                  <c:v>1.7</c:v>
                </c:pt>
                <c:pt idx="9">
                  <c:v>1.7</c:v>
                </c:pt>
                <c:pt idx="10">
                  <c:v>1.4</c:v>
                </c:pt>
                <c:pt idx="11">
                  <c:v>1.4</c:v>
                </c:pt>
                <c:pt idx="12">
                  <c:v>1.4</c:v>
                </c:pt>
                <c:pt idx="13">
                  <c:v>1.3</c:v>
                </c:pt>
                <c:pt idx="14">
                  <c:v>1.3</c:v>
                </c:pt>
                <c:pt idx="15">
                  <c:v>1.3</c:v>
                </c:pt>
                <c:pt idx="16">
                  <c:v>1.1000000000000001</c:v>
                </c:pt>
                <c:pt idx="17">
                  <c:v>1.1000000000000001</c:v>
                </c:pt>
                <c:pt idx="18">
                  <c:v>1.1000000000000001</c:v>
                </c:pt>
              </c:numCache>
            </c:numRef>
          </c:val>
          <c:smooth val="0"/>
          <c:extLst>
            <c:ext xmlns:c16="http://schemas.microsoft.com/office/drawing/2014/chart" uri="{C3380CC4-5D6E-409C-BE32-E72D297353CC}">
              <c16:uniqueId val="{00000001-53BE-4375-99EB-82A3456367D8}"/>
            </c:ext>
          </c:extLst>
        </c:ser>
        <c:dLbls>
          <c:showLegendKey val="0"/>
          <c:showVal val="0"/>
          <c:showCatName val="0"/>
          <c:showSerName val="0"/>
          <c:showPercent val="0"/>
          <c:showBubbleSize val="0"/>
        </c:dLbls>
        <c:marker val="1"/>
        <c:smooth val="0"/>
        <c:axId val="1952190783"/>
        <c:axId val="1952181215"/>
      </c:lineChart>
      <c:catAx>
        <c:axId val="1952190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1952181215"/>
        <c:crosses val="autoZero"/>
        <c:auto val="1"/>
        <c:lblAlgn val="ctr"/>
        <c:lblOffset val="100"/>
        <c:noMultiLvlLbl val="0"/>
      </c:catAx>
      <c:valAx>
        <c:axId val="1952181215"/>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9521907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Cas02</b:Tag>
    <b:SourceType>Book</b:SourceType>
    <b:Guid>{FFF4BB8F-6DCC-4D42-B0F4-F329B9C0E699}</b:Guid>
    <b:Author>
      <b:Author>
        <b:NameList>
          <b:Person>
            <b:Last>Cassela</b:Last>
            <b:First>George</b:First>
          </b:Person>
          <b:Person>
            <b:Last>Berger</b:Last>
            <b:First>Roger</b:First>
            <b:Middle>L</b:Middle>
          </b:Person>
        </b:NameList>
      </b:Author>
    </b:Author>
    <b:Title>Statistical Inference</b:Title>
    <b:Year>2002</b:Year>
    <b:City>Pacific Groove, California, USA</b:City>
    <b:Publisher>Wadsworth Group</b:Publisher>
    <b:RefOrder>1</b:RefOrder>
  </b:Source>
</b:Sources>
</file>

<file path=customXml/itemProps1.xml><?xml version="1.0" encoding="utf-8"?>
<ds:datastoreItem xmlns:ds="http://schemas.openxmlformats.org/officeDocument/2006/customXml" ds:itemID="{34A342A7-555A-4522-A392-0C24AC7B3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2910</Words>
  <Characters>16591</Characters>
  <Application>Microsoft Office Word</Application>
  <DocSecurity>0</DocSecurity>
  <Lines>138</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CBS</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Struijs, P. (Peter)</dc:creator>
  <cp:lastModifiedBy>Diego Chianella</cp:lastModifiedBy>
  <cp:revision>2</cp:revision>
  <cp:lastPrinted>2020-03-19T11:10:00Z</cp:lastPrinted>
  <dcterms:created xsi:type="dcterms:W3CDTF">2020-09-16T19:42:00Z</dcterms:created>
  <dcterms:modified xsi:type="dcterms:W3CDTF">2020-09-16T19:42:00Z</dcterms:modified>
</cp:coreProperties>
</file>