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28-Year-Old Male | Sapphire FUE | 4,800 Grafts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Grafts were used to restore the frontal hairline, temples, mid-scalp and crown. At 8 months, the patient showed improved scalp coverage, density and natural hair direction.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52-Year-Old Male | FUE | 5,200 Grafts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focused on rebuilding an age-appropriate hairline and improving coverage across the mid-scalp and crown. Results shown at 8 months, with further crown maturation expected.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49-Year-Old Male | FUE | 5,200 Grafts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conservative, age-appropriate hairline was designed, with grafts distributed across the frontal area, mid-scalp and crown. The patient continues to attend six-monthly follow-up appointments.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4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26-Year-Old Male | Sapphire FUE | 3,200 Grafts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addressed traction alopecia affecting the frontal hairline, frontotemporal angles and temples. At 1 year, the patient showed good density and natural-appearing hairline restoration.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47-Year-Old Male | Revision FUE | 5,500–5,800 Grafts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a previous transplant, grafts from the scalp, beard and chest were used to improve coverage across the hairline, mid-scalp and crown, despite limited remaining scalp donor hair.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