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lhew3wtc5063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Surgical Note – Hair Transplantation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Patient:</w:t>
      </w:r>
      <w:r w:rsidDel="00000000" w:rsidR="00000000" w:rsidRPr="00000000">
        <w:rPr>
          <w:color w:val="222222"/>
          <w:rtl w:val="0"/>
        </w:rPr>
        <w:t xml:space="preserve"> 28-year-old male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Diagnosis:</w:t>
      </w:r>
      <w:r w:rsidDel="00000000" w:rsidR="00000000" w:rsidRPr="00000000">
        <w:rPr>
          <w:color w:val="222222"/>
          <w:rtl w:val="0"/>
        </w:rPr>
        <w:t xml:space="preserve"> Androgenetic alopecia – Norwood-Hamilton Grade V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</w:r>
      <w:r w:rsidDel="00000000" w:rsidR="00000000" w:rsidRPr="00000000">
        <w:rPr>
          <w:color w:val="222222"/>
          <w:rtl w:val="0"/>
        </w:rPr>
        <w:t xml:space="preserve"> Sapphire FUE Hair Transplantation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Grafts:</w:t>
      </w:r>
      <w:r w:rsidDel="00000000" w:rsidR="00000000" w:rsidRPr="00000000">
        <w:rPr>
          <w:color w:val="222222"/>
          <w:rtl w:val="0"/>
        </w:rPr>
        <w:t xml:space="preserve"> Approximately 4,800 grafts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Surgical Plan:</w:t>
        <w:br w:type="textWrapping"/>
      </w:r>
      <w:r w:rsidDel="00000000" w:rsidR="00000000" w:rsidRPr="00000000">
        <w:rPr>
          <w:color w:val="222222"/>
          <w:rtl w:val="0"/>
        </w:rPr>
        <w:t xml:space="preserve">The patient presented with advanced male-pattern hair loss, with involvement of the frontal hairline, frontotemporal angles, temple triangles, mid-scalp, and crown. The treatment plan was designed to provide comprehensive scalp coverage while maintaining a natural and age-appropriate hairline.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Procedure Details:</w:t>
        <w:br w:type="textWrapping"/>
      </w:r>
      <w:r w:rsidDel="00000000" w:rsidR="00000000" w:rsidRPr="00000000">
        <w:rPr>
          <w:color w:val="222222"/>
          <w:rtl w:val="0"/>
        </w:rPr>
        <w:t xml:space="preserve">Approximately 4,800 follicular unit grafts were transplanted using the Sapphire FUE technique. Particular attention was given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Designing a natural-looking frontal hairline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Appropriate reconstruction of the frontotemporal angles and temple triangles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Restoration of the mid-scalp and crown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Maintaining appropriate graft distribution and density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Establishing natural hair direction and flow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Preserving the existing donor area to maintain the possibility of future procedures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Postoperative Management:</w:t>
        <w:br w:type="textWrapping"/>
      </w:r>
      <w:r w:rsidDel="00000000" w:rsidR="00000000" w:rsidRPr="00000000">
        <w:rPr>
          <w:color w:val="222222"/>
          <w:rtl w:val="0"/>
        </w:rPr>
        <w:t xml:space="preserve">The patient is continuing topical minoxidil as part of ongoing hair-loss management.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Follow-up:</w:t>
        <w:br w:type="textWrapping"/>
      </w:r>
      <w:r w:rsidDel="00000000" w:rsidR="00000000" w:rsidRPr="00000000">
        <w:rPr>
          <w:color w:val="222222"/>
          <w:rtl w:val="0"/>
        </w:rPr>
        <w:t xml:space="preserve">At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8-month follow-up</w:t>
      </w:r>
      <w:r w:rsidDel="00000000" w:rsidR="00000000" w:rsidRPr="00000000">
        <w:rPr>
          <w:color w:val="222222"/>
          <w:rtl w:val="0"/>
        </w:rPr>
        <w:t xml:space="preserve">, the patient demonstrated significant improvement in scalp coverage, with a natural-appearing hairline, satisfactory density, appropriate hair direction and flow, and good donor-area recovery.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preserved donor area provides the potential for additional transplantation in the future, if clinically indicated.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