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4dzelfgu58c6" w:id="0"/>
      <w:bookmarkEnd w:id="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OPERATIVE / SURGICAL NOTE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Patient:</w:t>
      </w:r>
      <w:r w:rsidDel="00000000" w:rsidR="00000000" w:rsidRPr="00000000">
        <w:rPr>
          <w:color w:val="222222"/>
          <w:rtl w:val="0"/>
        </w:rPr>
        <w:t xml:space="preserve"> 26-year-old male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Diagnosis:</w:t>
      </w:r>
      <w:r w:rsidDel="00000000" w:rsidR="00000000" w:rsidRPr="00000000">
        <w:rPr>
          <w:color w:val="222222"/>
          <w:rtl w:val="0"/>
        </w:rPr>
        <w:t xml:space="preserve"> Traction alopecia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Procedure:</w:t>
      </w:r>
      <w:r w:rsidDel="00000000" w:rsidR="00000000" w:rsidRPr="00000000">
        <w:rPr>
          <w:color w:val="222222"/>
          <w:rtl w:val="0"/>
        </w:rPr>
        <w:t xml:space="preserve"> Sapphire FUE Hair Transplantation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Number of Grafts:</w:t>
      </w:r>
      <w:r w:rsidDel="00000000" w:rsidR="00000000" w:rsidRPr="00000000">
        <w:rPr>
          <w:color w:val="222222"/>
          <w:rtl w:val="0"/>
        </w:rPr>
        <w:t xml:space="preserve"> Approximately 3,200 grafts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Clinical Assessment:</w:t>
        <w:br w:type="textWrapping"/>
      </w:r>
      <w:r w:rsidDel="00000000" w:rsidR="00000000" w:rsidRPr="00000000">
        <w:rPr>
          <w:color w:val="222222"/>
          <w:rtl w:val="0"/>
        </w:rPr>
        <w:t xml:space="preserve">The patient presented with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traction alopecia</w:t>
      </w:r>
      <w:r w:rsidDel="00000000" w:rsidR="00000000" w:rsidRPr="00000000">
        <w:rPr>
          <w:color w:val="222222"/>
          <w:rtl w:val="0"/>
        </w:rPr>
        <w:t xml:space="preserve">, characterized by hair loss predominantly affecting the frontal hairline, frontotemporal angles, and temple regions. The pattern was consistent with chronic mechanical traction associated with repeated tension on the hair.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There was significant recession of the frontotemporal and temporal areas, requiring restoration of the frontal hairline and lateral hairline contours.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Surgical Plan:</w:t>
        <w:br w:type="textWrapping"/>
      </w:r>
      <w:r w:rsidDel="00000000" w:rsidR="00000000" w:rsidRPr="00000000">
        <w:rPr>
          <w:color w:val="222222"/>
          <w:rtl w:val="0"/>
        </w:rPr>
        <w:t xml:space="preserve">The treatment plan was designed to reconstruct the frontal hairline, frontotemporal angles, and temple regions while maintaining natural hair direction, angulation, and appropriate density.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Procedure:</w:t>
        <w:br w:type="textWrapping"/>
      </w:r>
      <w:r w:rsidDel="00000000" w:rsidR="00000000" w:rsidRPr="00000000">
        <w:rPr>
          <w:color w:val="222222"/>
          <w:rtl w:val="0"/>
        </w:rPr>
        <w:t xml:space="preserve">Approximately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3,200 follicular unit grafts</w:t>
      </w:r>
      <w:r w:rsidDel="00000000" w:rsidR="00000000" w:rsidRPr="00000000">
        <w:rPr>
          <w:color w:val="222222"/>
          <w:rtl w:val="0"/>
        </w:rPr>
        <w:t xml:space="preserve"> were harvested and transplanted using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Sapphire FUE technique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Grafts were strategically distributed across the affected recipient areas with particular attention 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24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Reconstruction of the frontal hairline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Restoration of the frontotemporal angles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Correction of temporal recession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Natural hair direction and angulation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Appropriate graft distribution and density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24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Creation of a natural hairline transition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Postoperative Medical Management:</w:t>
        <w:br w:type="textWrapping"/>
      </w:r>
      <w:r w:rsidDel="00000000" w:rsidR="00000000" w:rsidRPr="00000000">
        <w:rPr>
          <w:color w:val="222222"/>
          <w:rtl w:val="0"/>
        </w:rPr>
        <w:t xml:space="preserve">The patient is currently using: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24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Topical minoxidil 5%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240" w:before="0" w:beforeAutospacing="0" w:lineRule="auto"/>
        <w:ind w:left="940" w:hanging="36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Finasteride 1 mg on alternate days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Follow-up:</w:t>
        <w:br w:type="textWrapping"/>
      </w:r>
      <w:r w:rsidDel="00000000" w:rsidR="00000000" w:rsidRPr="00000000">
        <w:rPr>
          <w:color w:val="222222"/>
          <w:rtl w:val="0"/>
        </w:rPr>
        <w:t xml:space="preserve">At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1-year postoperative assessment</w:t>
      </w:r>
      <w:r w:rsidDel="00000000" w:rsidR="00000000" w:rsidRPr="00000000">
        <w:rPr>
          <w:color w:val="222222"/>
          <w:rtl w:val="0"/>
        </w:rPr>
        <w:t xml:space="preserve">, the patient demonstrated satisfactory graft growth with good density and natural-appearing restoration of the frontal hairline, frontotemporal angles, and temple regions.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