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m1aigs9c5g51" w:id="0"/>
      <w:bookmarkEnd w:id="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OPERATIVE / SURGICAL NOTE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Patient:</w:t>
      </w:r>
      <w:r w:rsidDel="00000000" w:rsidR="00000000" w:rsidRPr="00000000">
        <w:rPr>
          <w:color w:val="222222"/>
          <w:rtl w:val="0"/>
        </w:rPr>
        <w:t xml:space="preserve"> 47-year-old male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Diagnosis:</w:t>
      </w:r>
      <w:r w:rsidDel="00000000" w:rsidR="00000000" w:rsidRPr="00000000">
        <w:rPr>
          <w:color w:val="222222"/>
          <w:rtl w:val="0"/>
        </w:rPr>
        <w:t xml:space="preserve"> Advanced androgenetic alopecia – Norwood-Hamilton Grade VII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Procedure:</w:t>
      </w:r>
      <w:r w:rsidDel="00000000" w:rsidR="00000000" w:rsidRPr="00000000">
        <w:rPr>
          <w:color w:val="222222"/>
          <w:rtl w:val="0"/>
        </w:rPr>
        <w:t xml:space="preserve"> Revision Hair Transplantation with FUE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Total Grafts:</w:t>
      </w:r>
      <w:r w:rsidDel="00000000" w:rsidR="00000000" w:rsidRPr="00000000">
        <w:rPr>
          <w:color w:val="222222"/>
          <w:rtl w:val="0"/>
        </w:rPr>
        <w:t xml:space="preserve"> Approximately 5,500–5,800 grafts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Previous Surgical History:</w:t>
        <w:br w:type="textWrapping"/>
      </w:r>
      <w:r w:rsidDel="00000000" w:rsidR="00000000" w:rsidRPr="00000000">
        <w:rPr>
          <w:color w:val="222222"/>
          <w:rtl w:val="0"/>
        </w:rPr>
        <w:t xml:space="preserve">The patient had previously undergone hair transplantation at a clinic in Turkey, with approximately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5,200 grafts</w:t>
      </w:r>
      <w:r w:rsidDel="00000000" w:rsidR="00000000" w:rsidRPr="00000000">
        <w:rPr>
          <w:color w:val="222222"/>
          <w:rtl w:val="0"/>
        </w:rPr>
        <w:t xml:space="preserve"> harvested during the initial procedure.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Following the previous surgery, the patient presented with persistent advanced hair loss and reduced donor-area availability.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Clinical Assessment:</w:t>
        <w:br w:type="textWrapping"/>
      </w:r>
      <w:r w:rsidDel="00000000" w:rsidR="00000000" w:rsidRPr="00000000">
        <w:rPr>
          <w:color w:val="222222"/>
          <w:rtl w:val="0"/>
        </w:rPr>
        <w:t xml:space="preserve">The patient presented with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Norwood-Hamilton Grade VII</w:t>
      </w:r>
      <w:r w:rsidDel="00000000" w:rsidR="00000000" w:rsidRPr="00000000">
        <w:rPr>
          <w:color w:val="222222"/>
          <w:rtl w:val="0"/>
        </w:rPr>
        <w:t xml:space="preserve"> androgenetic alopecia. The case was considered surgically challenging because of the extent of hair loss and significant depletion of the scalp donor area following the previous transplant.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Surgical Plan:</w:t>
        <w:br w:type="textWrapping"/>
      </w:r>
      <w:r w:rsidDel="00000000" w:rsidR="00000000" w:rsidRPr="00000000">
        <w:rPr>
          <w:color w:val="222222"/>
          <w:rtl w:val="0"/>
        </w:rPr>
        <w:t xml:space="preserve">The objective was to improve overall scalp coverage and density while creating a natural and age-appropriate frontal hairline. Due to limited scalp donor availability, additional donor sources were required.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planned recipient areas included the frontal hairline, frontal scalp, mid-scalp, and crown.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Procedure:</w:t>
        <w:br w:type="textWrapping"/>
      </w:r>
      <w:r w:rsidDel="00000000" w:rsidR="00000000" w:rsidRPr="00000000">
        <w:rPr>
          <w:color w:val="222222"/>
          <w:rtl w:val="0"/>
        </w:rPr>
        <w:t xml:space="preserve">A total of approximately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5,500–5,800 follicular unit grafts</w:t>
      </w:r>
      <w:r w:rsidDel="00000000" w:rsidR="00000000" w:rsidRPr="00000000">
        <w:rPr>
          <w:color w:val="222222"/>
          <w:rtl w:val="0"/>
        </w:rPr>
        <w:t xml:space="preserve"> were utilized for the revision procedure.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Given the reduced scalp donor reserve following the previous surgery, grafts were harvested from multiple donor sources, including: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24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Scalp donor area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Beard donor area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24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Chest donor area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Grafts were strategically distributed to maximize coverage and improve density across the recipient areas.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Particular attention was given to: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24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Reconstruction and refinement of the frontal hairline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Advancement of the hairline compared with the previous transplant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Appropriate hairline irregularity and natural transition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Improvement of frontal and mid-scalp density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Coverage of the crown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Appropriate graft angulation, direction, and hair flow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24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Efficient utilization of the remaining donor resources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Medical History:</w:t>
        <w:br w:type="textWrapping"/>
      </w:r>
      <w:r w:rsidDel="00000000" w:rsidR="00000000" w:rsidRPr="00000000">
        <w:rPr>
          <w:color w:val="222222"/>
          <w:rtl w:val="0"/>
        </w:rPr>
        <w:t xml:space="preserve">No significant reported comorbidities, including diabetes mellitus or hypertension.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Follow-up:</w:t>
        <w:br w:type="textWrapping"/>
      </w:r>
      <w:r w:rsidDel="00000000" w:rsidR="00000000" w:rsidRPr="00000000">
        <w:rPr>
          <w:color w:val="222222"/>
          <w:rtl w:val="0"/>
        </w:rPr>
        <w:t xml:space="preserve">At final postoperative assessment, the patient demonstrated improved overall scalp coverage and density. The frontal hairline was appropriately restored and advanced compared with the previous surgical result, with satisfactory crown coverage.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Despite the limitations imposed by previous donor depletion and the extent of Grade VII hair loss, the final result demonstrates a natural-appearing hairline and improved overall scalp coverage appropriate for the patient’s age.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