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pc64azwvujhx" w:id="0"/>
      <w:bookmarkEnd w:id="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OPERATIVE / SURGICAL NOTE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Patient:</w:t>
      </w:r>
      <w:r w:rsidDel="00000000" w:rsidR="00000000" w:rsidRPr="00000000">
        <w:rPr>
          <w:color w:val="222222"/>
          <w:rtl w:val="0"/>
        </w:rPr>
        <w:t xml:space="preserve"> 49-year-old male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Diagnosis:</w:t>
      </w:r>
      <w:r w:rsidDel="00000000" w:rsidR="00000000" w:rsidRPr="00000000">
        <w:rPr>
          <w:color w:val="222222"/>
          <w:rtl w:val="0"/>
        </w:rPr>
        <w:t xml:space="preserve"> Androgenetic alopecia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Procedure:</w:t>
      </w:r>
      <w:r w:rsidDel="00000000" w:rsidR="00000000" w:rsidRPr="00000000">
        <w:rPr>
          <w:color w:val="222222"/>
          <w:rtl w:val="0"/>
        </w:rPr>
        <w:t xml:space="preserve"> Follicular Unit Extraction (FUE) Hair Transplantation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Number of Grafts:</w:t>
      </w:r>
      <w:r w:rsidDel="00000000" w:rsidR="00000000" w:rsidRPr="00000000">
        <w:rPr>
          <w:color w:val="222222"/>
          <w:rtl w:val="0"/>
        </w:rPr>
        <w:t xml:space="preserve"> Approximately 5,200 grafts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Medical History:</w:t>
        <w:br w:type="textWrapping"/>
      </w:r>
      <w:r w:rsidDel="00000000" w:rsidR="00000000" w:rsidRPr="00000000">
        <w:rPr>
          <w:color w:val="222222"/>
          <w:rtl w:val="0"/>
        </w:rPr>
        <w:t xml:space="preserve">The patient has no significant reported medical comorbidities, including diabetes mellitus, hypertension, or thyroid disease. He reports occasional use of medication for anxiety-related symptoms and does not take this medication regularly.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Indication:</w:t>
        <w:br w:type="textWrapping"/>
      </w:r>
      <w:r w:rsidDel="00000000" w:rsidR="00000000" w:rsidRPr="00000000">
        <w:rPr>
          <w:color w:val="222222"/>
          <w:rtl w:val="0"/>
        </w:rPr>
        <w:t xml:space="preserve">The patient presented for surgical restoration of hair loss involving the frontal hairline, mid-scalp, and crown. Following clinical assessment and discussion of the treatment plan, the patient elected to undergo hair transplantation.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Surgical Plan:</w:t>
        <w:br w:type="textWrapping"/>
      </w:r>
      <w:r w:rsidDel="00000000" w:rsidR="00000000" w:rsidRPr="00000000">
        <w:rPr>
          <w:color w:val="222222"/>
          <w:rtl w:val="0"/>
        </w:rPr>
        <w:t xml:space="preserve">Considering the patient’s age and facial proportions, a conservative and age-appropriate frontal hairline was designed, maintaining a slightly higher forehead rather than creating an excessively low hairline. An irregular/zigzag transition was incorporated to achieve a natural appearance.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treatment plan included coverage of the frontal hairline, mid-scalp, and crown while maintaining appropriate graft distribution and preserving donor resources.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Procedure:</w:t>
        <w:br w:type="textWrapping"/>
      </w:r>
      <w:r w:rsidDel="00000000" w:rsidR="00000000" w:rsidRPr="00000000">
        <w:rPr>
          <w:color w:val="222222"/>
          <w:rtl w:val="0"/>
        </w:rPr>
        <w:t xml:space="preserve">Approximately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5,200 follicular unit grafts</w:t>
      </w:r>
      <w:r w:rsidDel="00000000" w:rsidR="00000000" w:rsidRPr="00000000">
        <w:rPr>
          <w:color w:val="222222"/>
          <w:rtl w:val="0"/>
        </w:rPr>
        <w:t xml:space="preserve"> were harvested and transplanted using the FUE technique.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Grafts were distributed across the frontal hairline, mid-scalp, and crown according to the recipient-area requirements. Particular attention was given to: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24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Natural frontal hairline design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Irregular/zigzag hairline transition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Appropriate graft angulation and direction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Natural hair flow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Adequate density and volume in the mid-scalp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Progressive coverage of the crown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24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Preservation of the donor area for long-term planning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Postoperative Management:</w:t>
        <w:br w:type="textWrapping"/>
      </w:r>
      <w:r w:rsidDel="00000000" w:rsidR="00000000" w:rsidRPr="00000000">
        <w:rPr>
          <w:color w:val="222222"/>
          <w:rtl w:val="0"/>
        </w:rPr>
        <w:t xml:space="preserve">The patient is using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topical minoxidil 5%, 1 mL nightly</w:t>
      </w:r>
      <w:r w:rsidDel="00000000" w:rsidR="00000000" w:rsidRPr="00000000">
        <w:rPr>
          <w:color w:val="222222"/>
          <w:rtl w:val="0"/>
        </w:rPr>
        <w:t xml:space="preserve"> as part of ongoing hair-loss management.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Follow-up:</w:t>
        <w:br w:type="textWrapping"/>
      </w:r>
      <w:r w:rsidDel="00000000" w:rsidR="00000000" w:rsidRPr="00000000">
        <w:rPr>
          <w:color w:val="222222"/>
          <w:rtl w:val="0"/>
        </w:rPr>
        <w:t xml:space="preserve">The patient is being followed at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six-monthly intervals</w:t>
      </w:r>
      <w:r w:rsidDel="00000000" w:rsidR="00000000" w:rsidRPr="00000000">
        <w:rPr>
          <w:color w:val="222222"/>
          <w:rtl w:val="0"/>
        </w:rPr>
        <w:t xml:space="preserve"> for assessment of graft growth, donor-area status, and ongoing hair-loss management.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