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5cd3"/>
          <w:sz w:val="30"/>
          <w:szCs w:val="30"/>
          <w:rtl w:val="0"/>
        </w:rPr>
        <w:t xml:space="preserve">Niva Medical Clinic — Private GP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75cd3" w:space="6" w:sz="6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Keyword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7085"/>
          <w:sz w:val="17"/>
          <w:szCs w:val="17"/>
          <w:rtl w:val="0"/>
        </w:rPr>
        <w:t xml:space="preserve">Prepared by OMD · 4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60" w:before="0" w:lineRule="auto"/>
        <w:rPr/>
      </w:pPr>
      <w:r w:rsidDel="00000000" w:rsidR="00000000" w:rsidRPr="00000000">
        <w:rPr>
          <w:rFonts w:ascii="Arial" w:cs="Arial" w:eastAsia="Arial" w:hAnsi="Arial"/>
          <w:color w:val="667085"/>
          <w:sz w:val="17"/>
          <w:szCs w:val="17"/>
          <w:rtl w:val="0"/>
        </w:rPr>
        <w:t xml:space="preserve">Avg. monthly searches, competition and bid ranges: Google Keyword Planner, 1 Aug 2025 – 31 Jul 2026, geo-targeted to Barnet, Borehamwood, Bushey, Edgware, Harrow, Northwood, Pinner, Stanmore and Wembley. UK searches: Ahrefs, United Kingdom. Both pulled 04/09/2026. A dash means the source reported no data.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d0d5dd" w:space="0" w:sz="2" w:val="single"/>
          <w:left w:color="d0d5dd" w:space="0" w:sz="2" w:val="single"/>
          <w:bottom w:color="d0d5dd" w:space="0" w:sz="2" w:val="single"/>
          <w:right w:color="d0d5dd" w:space="0" w:sz="2" w:val="single"/>
          <w:insideH w:color="d0d5dd" w:space="0" w:sz="2" w:val="single"/>
          <w:insideV w:color="d0d5dd" w:space="0" w:sz="2" w:val="single"/>
        </w:tblBorders>
        <w:tblLayout w:type="fixed"/>
        <w:tblLook w:val="0000"/>
      </w:tblPr>
      <w:tblGrid>
        <w:gridCol w:w="2600"/>
        <w:gridCol w:w="1000"/>
        <w:gridCol w:w="1150"/>
        <w:gridCol w:w="1300"/>
        <w:gridCol w:w="1000"/>
        <w:gridCol w:w="1000"/>
        <w:gridCol w:w="976"/>
        <w:tblGridChange w:id="0">
          <w:tblGrid>
            <w:gridCol w:w="2600"/>
            <w:gridCol w:w="1000"/>
            <w:gridCol w:w="1150"/>
            <w:gridCol w:w="1300"/>
            <w:gridCol w:w="1000"/>
            <w:gridCol w:w="1000"/>
            <w:gridCol w:w="976"/>
          </w:tblGrid>
        </w:tblGridChange>
      </w:tblGrid>
      <w:tr>
        <w:trPr>
          <w:cantSplit w:val="1"/>
          <w:tblHeader w:val="1"/>
        </w:trPr>
        <w:tc>
          <w:tcPr>
            <w:shd w:fill="175c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5c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5c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Avg. Monthly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Searches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5c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5c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 of Page Bid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5c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 of Page Bid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5c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Searches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gp private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£1.66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£3.81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close to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£1.66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£3.81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doctor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£1.71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£6.01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dr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£1.71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£6.01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doctors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£1.71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£6.01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clinic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£1.46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£5.19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1,300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£2.40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1,400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clinic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doctor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health clinic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appointment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online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medical clinic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same day private 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find a private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doctors appointment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same day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service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medical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medical practice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clinic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dr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services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£1.08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£2.07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healthcare clinics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healthcare 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appointment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healthcare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any private doctors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doctor appointment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appointment face to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gp near me 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clinics around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face to face gp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same day 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find a private doctor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north west london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medical doctor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same day private gp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local private doctors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local private gp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nearest private doctor to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gp saturday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walk in doctors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see private doctor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medical doctors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24 hour private doctor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cost of private doctor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appointment with private doctor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book private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doctor appointment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private primary doctors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same day private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o4MEklNEr3Ld9lnzAZO+9edsg==">CgMxLjA4AHIhMUx6WS02SlZQamFVSWhKRHJUVjh0NGtWYUJwTVRWUktH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2026-09-04T13:09:13.145Z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