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spacing w:before="8"/>
        <w:rPr>
          <w:rFonts w:ascii="Times New Roman"/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77"/>
      </w:tblGrid>
      <w:tr w:rsidR="00BA5ECF">
        <w:trPr>
          <w:trHeight w:val="1049"/>
        </w:trPr>
        <w:tc>
          <w:tcPr>
            <w:tcW w:w="9477" w:type="dxa"/>
            <w:tcBorders>
              <w:bottom w:val="single" w:sz="4" w:space="0" w:color="4F81BC"/>
            </w:tcBorders>
          </w:tcPr>
          <w:p w:rsidR="00BA5ECF" w:rsidRDefault="003C6DBE">
            <w:pPr>
              <w:pStyle w:val="TableParagraph"/>
              <w:spacing w:line="656" w:lineRule="exact"/>
              <w:ind w:right="699"/>
              <w:rPr>
                <w:sz w:val="56"/>
              </w:rPr>
            </w:pPr>
            <w:r>
              <w:rPr>
                <w:sz w:val="56"/>
              </w:rPr>
              <w:t>Supervised Learning - I</w:t>
            </w:r>
          </w:p>
        </w:tc>
      </w:tr>
      <w:tr w:rsidR="00BA5ECF">
        <w:trPr>
          <w:trHeight w:val="615"/>
        </w:trPr>
        <w:tc>
          <w:tcPr>
            <w:tcW w:w="9477" w:type="dxa"/>
            <w:tcBorders>
              <w:top w:val="single" w:sz="4" w:space="0" w:color="4F81BC"/>
            </w:tcBorders>
          </w:tcPr>
          <w:p w:rsidR="00BA5ECF" w:rsidRDefault="003C6DBE">
            <w:pPr>
              <w:pStyle w:val="TableParagraph"/>
              <w:spacing w:before="100"/>
              <w:rPr>
                <w:sz w:val="44"/>
              </w:rPr>
            </w:pPr>
            <w:r>
              <w:rPr>
                <w:color w:val="006FC0"/>
                <w:sz w:val="44"/>
              </w:rPr>
              <w:t>Case Study</w:t>
            </w:r>
          </w:p>
        </w:tc>
      </w:tr>
    </w:tbl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rPr>
          <w:rFonts w:ascii="Times New Roman"/>
          <w:sz w:val="20"/>
        </w:rPr>
      </w:pPr>
    </w:p>
    <w:p w:rsidR="00BA5ECF" w:rsidRDefault="00BA5ECF">
      <w:pPr>
        <w:pStyle w:val="BodyText"/>
        <w:spacing w:before="10"/>
        <w:rPr>
          <w:rFonts w:ascii="Times New Roman"/>
          <w:sz w:val="21"/>
        </w:rPr>
      </w:pPr>
    </w:p>
    <w:p w:rsidR="00BA5ECF" w:rsidRDefault="00BA5ECF">
      <w:pPr>
        <w:pStyle w:val="BodyText"/>
        <w:rPr>
          <w:rFonts w:ascii="Times New Roman"/>
          <w:sz w:val="13"/>
        </w:rPr>
      </w:pPr>
    </w:p>
    <w:p w:rsidR="00BA5ECF" w:rsidRDefault="00BA5ECF">
      <w:pPr>
        <w:jc w:val="center"/>
        <w:rPr>
          <w:rFonts w:ascii="Trebuchet MS" w:hAnsi="Trebuchet MS"/>
        </w:rPr>
        <w:sectPr w:rsidR="00BA5ECF">
          <w:headerReference w:type="default" r:id="rId7"/>
          <w:type w:val="continuous"/>
          <w:pgSz w:w="11910" w:h="16840"/>
          <w:pgMar w:top="1340" w:right="1320" w:bottom="280" w:left="880" w:header="710" w:footer="720" w:gutter="0"/>
          <w:cols w:space="720"/>
        </w:sectPr>
      </w:pPr>
    </w:p>
    <w:p w:rsidR="00BA5ECF" w:rsidRDefault="003C6DBE">
      <w:pPr>
        <w:spacing w:before="89"/>
        <w:ind w:left="111"/>
        <w:rPr>
          <w:sz w:val="32"/>
        </w:rPr>
      </w:pPr>
      <w:r>
        <w:rPr>
          <w:color w:val="365F91"/>
          <w:sz w:val="32"/>
        </w:rPr>
        <w:lastRenderedPageBreak/>
        <w:t>Case Study</w:t>
      </w:r>
    </w:p>
    <w:p w:rsidR="00BA5ECF" w:rsidRDefault="00BA5ECF">
      <w:pPr>
        <w:pStyle w:val="BodyText"/>
        <w:spacing w:before="7"/>
        <w:rPr>
          <w:sz w:val="38"/>
        </w:rPr>
      </w:pPr>
    </w:p>
    <w:p w:rsidR="00BA5ECF" w:rsidRDefault="003C6DBE">
      <w:pPr>
        <w:pStyle w:val="BodyText"/>
        <w:ind w:left="111"/>
      </w:pPr>
      <w:r>
        <w:t>Domain – Banking/Loan</w:t>
      </w:r>
    </w:p>
    <w:p w:rsidR="00BA5ECF" w:rsidRDefault="00BA5ECF">
      <w:pPr>
        <w:pStyle w:val="BodyText"/>
        <w:spacing w:before="3"/>
        <w:rPr>
          <w:sz w:val="27"/>
        </w:rPr>
      </w:pPr>
    </w:p>
    <w:p w:rsidR="00BA5ECF" w:rsidRDefault="003C6DBE">
      <w:pPr>
        <w:pStyle w:val="BodyText"/>
        <w:ind w:left="111"/>
      </w:pPr>
      <w:r>
        <w:t>focus – Lower NPA (Non Performing Asset)</w:t>
      </w:r>
    </w:p>
    <w:p w:rsidR="00BA5ECF" w:rsidRDefault="00BA5ECF">
      <w:pPr>
        <w:pStyle w:val="BodyText"/>
        <w:spacing w:before="6"/>
        <w:rPr>
          <w:sz w:val="38"/>
        </w:rPr>
      </w:pPr>
    </w:p>
    <w:p w:rsidR="00BA5ECF" w:rsidRDefault="003C6DBE">
      <w:pPr>
        <w:pStyle w:val="BodyText"/>
        <w:ind w:left="111"/>
      </w:pPr>
      <w:r>
        <w:rPr>
          <w:u w:val="single"/>
        </w:rPr>
        <w:t>Business challenge/requirement</w:t>
      </w:r>
    </w:p>
    <w:p w:rsidR="00BA5ECF" w:rsidRDefault="003C6DBE">
      <w:pPr>
        <w:pStyle w:val="BodyText"/>
        <w:spacing w:line="259" w:lineRule="auto"/>
        <w:ind w:left="111" w:right="181"/>
      </w:pPr>
      <w:r>
        <w:t>PeerLoanKart is an NBFC (Non-Banking Financial Company) which facilitates peer to peer loan.</w:t>
      </w:r>
    </w:p>
    <w:p w:rsidR="00BA5ECF" w:rsidRDefault="003C6DBE">
      <w:pPr>
        <w:pStyle w:val="BodyText"/>
        <w:spacing w:before="158" w:line="259" w:lineRule="auto"/>
        <w:ind w:left="111" w:right="219"/>
      </w:pPr>
      <w:r>
        <w:t>It connects people who need money (borrowers) with people who have money (investors). As an investor, you would want to invest in people who showed a profile of having a high probability of paying you back.</w:t>
      </w:r>
    </w:p>
    <w:p w:rsidR="00BA5ECF" w:rsidRDefault="003C6DBE">
      <w:pPr>
        <w:pStyle w:val="BodyText"/>
        <w:spacing w:before="160" w:line="259" w:lineRule="auto"/>
        <w:ind w:left="111" w:right="188"/>
      </w:pPr>
      <w:r>
        <w:t xml:space="preserve">You as a ML expert create a model that will help </w:t>
      </w:r>
      <w:r>
        <w:t>predict whether a borrower will pay the loan or not.</w:t>
      </w:r>
    </w:p>
    <w:p w:rsidR="00BA5ECF" w:rsidRDefault="00BA5ECF">
      <w:pPr>
        <w:pStyle w:val="BodyText"/>
        <w:rPr>
          <w:sz w:val="30"/>
        </w:rPr>
      </w:pPr>
    </w:p>
    <w:p w:rsidR="00BA5ECF" w:rsidRDefault="00BA5ECF">
      <w:pPr>
        <w:pStyle w:val="BodyText"/>
        <w:spacing w:before="5"/>
        <w:rPr>
          <w:sz w:val="25"/>
        </w:rPr>
      </w:pPr>
    </w:p>
    <w:p w:rsidR="00BA5ECF" w:rsidRDefault="003C6DBE">
      <w:pPr>
        <w:pStyle w:val="BodyText"/>
        <w:ind w:left="111"/>
      </w:pPr>
      <w:r>
        <w:rPr>
          <w:u w:val="single"/>
        </w:rPr>
        <w:t>Key issues</w:t>
      </w:r>
    </w:p>
    <w:p w:rsidR="00BA5ECF" w:rsidRDefault="003C6DBE">
      <w:pPr>
        <w:pStyle w:val="BodyText"/>
        <w:spacing w:before="183" w:line="259" w:lineRule="auto"/>
        <w:ind w:left="111" w:right="404"/>
      </w:pPr>
      <w:r>
        <w:t>Ensure NPAs are lower – meaning PeerLoanKart wants to be very diligent in giving loans to borrower</w:t>
      </w:r>
    </w:p>
    <w:p w:rsidR="00BA5ECF" w:rsidRDefault="00BA5ECF">
      <w:pPr>
        <w:pStyle w:val="BodyText"/>
        <w:rPr>
          <w:sz w:val="30"/>
        </w:rPr>
      </w:pPr>
    </w:p>
    <w:p w:rsidR="00BA5ECF" w:rsidRDefault="00BA5ECF">
      <w:pPr>
        <w:pStyle w:val="BodyText"/>
        <w:spacing w:before="5"/>
        <w:rPr>
          <w:sz w:val="25"/>
        </w:rPr>
      </w:pPr>
    </w:p>
    <w:p w:rsidR="00BA5ECF" w:rsidRDefault="003C6DBE">
      <w:pPr>
        <w:pStyle w:val="BodyText"/>
        <w:ind w:left="111" w:right="7904"/>
      </w:pPr>
      <w:r>
        <w:rPr>
          <w:u w:val="single"/>
        </w:rPr>
        <w:t>Considerations</w:t>
      </w:r>
      <w:r>
        <w:t xml:space="preserve"> NONE</w:t>
      </w:r>
    </w:p>
    <w:p w:rsidR="00BA5ECF" w:rsidRDefault="00BA5ECF">
      <w:pPr>
        <w:pStyle w:val="BodyText"/>
        <w:rPr>
          <w:sz w:val="30"/>
        </w:rPr>
      </w:pPr>
    </w:p>
    <w:p w:rsidR="00BA5ECF" w:rsidRDefault="00BA5ECF">
      <w:pPr>
        <w:pStyle w:val="BodyText"/>
        <w:spacing w:before="4"/>
        <w:rPr>
          <w:sz w:val="27"/>
        </w:rPr>
      </w:pPr>
    </w:p>
    <w:p w:rsidR="00BA5ECF" w:rsidRDefault="003C6DBE">
      <w:pPr>
        <w:pStyle w:val="BodyText"/>
        <w:spacing w:before="1"/>
        <w:ind w:left="111"/>
      </w:pPr>
      <w:r>
        <w:rPr>
          <w:u w:val="single"/>
        </w:rPr>
        <w:t>Data volume</w:t>
      </w:r>
    </w:p>
    <w:p w:rsidR="00BA5ECF" w:rsidRDefault="003C6DBE">
      <w:pPr>
        <w:pStyle w:val="ListParagraph"/>
        <w:numPr>
          <w:ilvl w:val="0"/>
          <w:numId w:val="1"/>
        </w:numPr>
        <w:tabs>
          <w:tab w:val="left" w:pos="256"/>
        </w:tabs>
        <w:spacing w:line="312" w:lineRule="auto"/>
        <w:ind w:right="3703" w:hanging="58"/>
        <w:rPr>
          <w:sz w:val="26"/>
        </w:rPr>
      </w:pPr>
      <w:r>
        <w:rPr>
          <w:sz w:val="26"/>
        </w:rPr>
        <w:t>Approx 9578 records – file loan_borowwer_data.csv Fields in Data</w:t>
      </w:r>
    </w:p>
    <w:p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right="960"/>
        <w:rPr>
          <w:sz w:val="26"/>
        </w:rPr>
      </w:pPr>
      <w:r>
        <w:rPr>
          <w:sz w:val="26"/>
        </w:rPr>
        <w:t>credit.policy: 1 if the customer meets the credit underwriting criteria of PeerLoanKart, and 0 otherwise</w:t>
      </w:r>
    </w:p>
    <w:p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right="373"/>
        <w:rPr>
          <w:sz w:val="26"/>
        </w:rPr>
      </w:pPr>
      <w:r>
        <w:rPr>
          <w:sz w:val="26"/>
        </w:rPr>
        <w:t>purpose: The purpose of the loan (takes values "credit_card", "debt_consolidation", "e</w:t>
      </w:r>
      <w:r>
        <w:rPr>
          <w:sz w:val="26"/>
        </w:rPr>
        <w:t>ducational", "major_purchase", "small_business",</w:t>
      </w:r>
      <w:r>
        <w:rPr>
          <w:spacing w:val="-39"/>
          <w:sz w:val="26"/>
        </w:rPr>
        <w:t xml:space="preserve"> </w:t>
      </w:r>
      <w:r>
        <w:rPr>
          <w:sz w:val="26"/>
        </w:rPr>
        <w:t>and "all_other")</w:t>
      </w:r>
    </w:p>
    <w:p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right="328"/>
        <w:rPr>
          <w:sz w:val="26"/>
        </w:rPr>
      </w:pPr>
      <w:r>
        <w:rPr>
          <w:sz w:val="26"/>
        </w:rPr>
        <w:t>int.rate: The interest rate of the loan, as a proportion (a rate of 11% would</w:t>
      </w:r>
      <w:r>
        <w:rPr>
          <w:spacing w:val="-38"/>
          <w:sz w:val="26"/>
        </w:rPr>
        <w:t xml:space="preserve"> </w:t>
      </w:r>
      <w:r>
        <w:rPr>
          <w:sz w:val="26"/>
        </w:rPr>
        <w:t>be stored as 0.11). Borrowers judged by PeerLoanKart to be more risky are assigned higher interest</w:t>
      </w:r>
      <w:r>
        <w:rPr>
          <w:spacing w:val="-1"/>
          <w:sz w:val="26"/>
        </w:rPr>
        <w:t xml:space="preserve"> </w:t>
      </w:r>
      <w:r>
        <w:rPr>
          <w:sz w:val="26"/>
        </w:rPr>
        <w:t>rates</w:t>
      </w:r>
    </w:p>
    <w:p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right="705"/>
        <w:rPr>
          <w:sz w:val="26"/>
        </w:rPr>
      </w:pPr>
      <w:r>
        <w:rPr>
          <w:sz w:val="26"/>
        </w:rPr>
        <w:t>install</w:t>
      </w:r>
      <w:r>
        <w:rPr>
          <w:sz w:val="26"/>
        </w:rPr>
        <w:t>ment: The monthly installments owed by the borrower if the loan</w:t>
      </w:r>
      <w:r>
        <w:rPr>
          <w:spacing w:val="-41"/>
          <w:sz w:val="26"/>
        </w:rPr>
        <w:t xml:space="preserve"> </w:t>
      </w:r>
      <w:r>
        <w:rPr>
          <w:sz w:val="26"/>
        </w:rPr>
        <w:t>is funded</w:t>
      </w:r>
    </w:p>
    <w:p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right="947"/>
        <w:rPr>
          <w:sz w:val="26"/>
        </w:rPr>
      </w:pPr>
      <w:r>
        <w:rPr>
          <w:sz w:val="26"/>
        </w:rPr>
        <w:t>log.annual.inc: The natural log of the self-reported annual income of the borrower</w:t>
      </w:r>
    </w:p>
    <w:p w:rsidR="00BA5ECF" w:rsidRDefault="00BA5ECF">
      <w:pPr>
        <w:rPr>
          <w:sz w:val="26"/>
        </w:rPr>
        <w:sectPr w:rsidR="00BA5ECF">
          <w:headerReference w:type="default" r:id="rId8"/>
          <w:footerReference w:type="default" r:id="rId9"/>
          <w:pgSz w:w="11910" w:h="16840"/>
          <w:pgMar w:top="1340" w:right="1320" w:bottom="580" w:left="880" w:header="749" w:footer="395" w:gutter="0"/>
          <w:pgNumType w:start="1"/>
          <w:cols w:space="720"/>
        </w:sectPr>
      </w:pPr>
    </w:p>
    <w:p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91"/>
        <w:ind w:right="775"/>
        <w:rPr>
          <w:sz w:val="26"/>
        </w:rPr>
      </w:pPr>
      <w:r>
        <w:rPr>
          <w:sz w:val="26"/>
        </w:rPr>
        <w:lastRenderedPageBreak/>
        <w:t>dti: The debt-to-income ratio of the borrower (amount of debt divided by annual</w:t>
      </w:r>
      <w:r>
        <w:rPr>
          <w:spacing w:val="-2"/>
          <w:sz w:val="26"/>
        </w:rPr>
        <w:t xml:space="preserve"> </w:t>
      </w:r>
      <w:r>
        <w:rPr>
          <w:sz w:val="26"/>
        </w:rPr>
        <w:t>income)</w:t>
      </w:r>
    </w:p>
    <w:p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hanging="361"/>
        <w:rPr>
          <w:sz w:val="26"/>
        </w:rPr>
      </w:pPr>
      <w:r>
        <w:rPr>
          <w:sz w:val="26"/>
        </w:rPr>
        <w:t>fico: The FICO credit score of the</w:t>
      </w:r>
      <w:r>
        <w:rPr>
          <w:spacing w:val="-3"/>
          <w:sz w:val="26"/>
        </w:rPr>
        <w:t xml:space="preserve"> </w:t>
      </w:r>
      <w:r>
        <w:rPr>
          <w:sz w:val="26"/>
        </w:rPr>
        <w:t>borrower</w:t>
      </w:r>
    </w:p>
    <w:p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hanging="361"/>
        <w:rPr>
          <w:sz w:val="26"/>
        </w:rPr>
      </w:pPr>
      <w:r>
        <w:rPr>
          <w:sz w:val="26"/>
        </w:rPr>
        <w:t>days.with.c</w:t>
      </w:r>
      <w:r>
        <w:rPr>
          <w:sz w:val="26"/>
        </w:rPr>
        <w:t>r.line: The number of days the borrower has had a credit</w:t>
      </w:r>
      <w:r>
        <w:rPr>
          <w:spacing w:val="-15"/>
          <w:sz w:val="26"/>
        </w:rPr>
        <w:t xml:space="preserve"> </w:t>
      </w:r>
      <w:r>
        <w:rPr>
          <w:sz w:val="26"/>
        </w:rPr>
        <w:t>line</w:t>
      </w:r>
    </w:p>
    <w:p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right="343"/>
        <w:rPr>
          <w:sz w:val="26"/>
        </w:rPr>
      </w:pPr>
      <w:r>
        <w:rPr>
          <w:sz w:val="26"/>
        </w:rPr>
        <w:t>revol.bal: The borrower's revolving balance (amount unpaid at the end of</w:t>
      </w:r>
      <w:r>
        <w:rPr>
          <w:spacing w:val="-40"/>
          <w:sz w:val="26"/>
        </w:rPr>
        <w:t xml:space="preserve"> </w:t>
      </w:r>
      <w:r>
        <w:rPr>
          <w:sz w:val="26"/>
        </w:rPr>
        <w:t>the credit card billing</w:t>
      </w:r>
      <w:r>
        <w:rPr>
          <w:spacing w:val="-4"/>
          <w:sz w:val="26"/>
        </w:rPr>
        <w:t xml:space="preserve"> </w:t>
      </w:r>
      <w:r>
        <w:rPr>
          <w:sz w:val="26"/>
        </w:rPr>
        <w:t>cycle)</w:t>
      </w:r>
    </w:p>
    <w:p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right="628"/>
        <w:rPr>
          <w:sz w:val="26"/>
        </w:rPr>
      </w:pPr>
      <w:r>
        <w:rPr>
          <w:sz w:val="26"/>
        </w:rPr>
        <w:t>revol.util: The borrower's revolving line utilization rate (the amount of</w:t>
      </w:r>
      <w:r>
        <w:rPr>
          <w:spacing w:val="-36"/>
          <w:sz w:val="26"/>
        </w:rPr>
        <w:t xml:space="preserve"> </w:t>
      </w:r>
      <w:r>
        <w:rPr>
          <w:sz w:val="26"/>
        </w:rPr>
        <w:t xml:space="preserve">the credit line </w:t>
      </w:r>
      <w:r>
        <w:rPr>
          <w:sz w:val="26"/>
        </w:rPr>
        <w:t>used relative to total credit</w:t>
      </w:r>
      <w:r>
        <w:rPr>
          <w:spacing w:val="-6"/>
          <w:sz w:val="26"/>
        </w:rPr>
        <w:t xml:space="preserve"> </w:t>
      </w:r>
      <w:r>
        <w:rPr>
          <w:sz w:val="26"/>
        </w:rPr>
        <w:t>available)</w:t>
      </w:r>
    </w:p>
    <w:p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right="451"/>
        <w:rPr>
          <w:sz w:val="26"/>
        </w:rPr>
      </w:pPr>
      <w:r>
        <w:rPr>
          <w:sz w:val="26"/>
        </w:rPr>
        <w:t>inq.last.6mths: The borrower's number of inquiries by creditors in the last 6 months</w:t>
      </w:r>
    </w:p>
    <w:p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1"/>
        <w:ind w:right="183"/>
        <w:rPr>
          <w:sz w:val="26"/>
        </w:rPr>
      </w:pPr>
      <w:r>
        <w:rPr>
          <w:sz w:val="26"/>
        </w:rPr>
        <w:t>delinq.2yrs: The number of times the borrower had been 30+ days past due</w:t>
      </w:r>
      <w:r>
        <w:rPr>
          <w:spacing w:val="-41"/>
          <w:sz w:val="26"/>
        </w:rPr>
        <w:t xml:space="preserve"> </w:t>
      </w:r>
      <w:r>
        <w:rPr>
          <w:sz w:val="26"/>
        </w:rPr>
        <w:t>on a payment in the past 2</w:t>
      </w:r>
      <w:r>
        <w:rPr>
          <w:spacing w:val="-3"/>
          <w:sz w:val="26"/>
        </w:rPr>
        <w:t xml:space="preserve"> </w:t>
      </w:r>
      <w:r>
        <w:rPr>
          <w:sz w:val="26"/>
        </w:rPr>
        <w:t>years</w:t>
      </w:r>
    </w:p>
    <w:p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right="590"/>
        <w:rPr>
          <w:sz w:val="26"/>
        </w:rPr>
      </w:pPr>
      <w:r>
        <w:rPr>
          <w:sz w:val="26"/>
        </w:rPr>
        <w:t xml:space="preserve">pub.rec: The borrower's </w:t>
      </w:r>
      <w:r>
        <w:rPr>
          <w:sz w:val="26"/>
        </w:rPr>
        <w:t>number of derogatory public records (bankruptcy filings, tax liens, or</w:t>
      </w:r>
      <w:r>
        <w:rPr>
          <w:spacing w:val="1"/>
          <w:sz w:val="26"/>
        </w:rPr>
        <w:t xml:space="preserve"> </w:t>
      </w:r>
      <w:r>
        <w:rPr>
          <w:sz w:val="26"/>
        </w:rPr>
        <w:t>judgments)</w:t>
      </w:r>
    </w:p>
    <w:p w:rsidR="00BA5ECF" w:rsidRDefault="003C6DB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1"/>
        <w:ind w:right="182"/>
        <w:rPr>
          <w:b/>
          <w:sz w:val="26"/>
        </w:rPr>
      </w:pPr>
      <w:r>
        <w:rPr>
          <w:b/>
          <w:sz w:val="26"/>
        </w:rPr>
        <w:t>not.fully.paid: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This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output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field.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Please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note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that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1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means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borrower is not going to pay the loan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completely</w:t>
      </w:r>
    </w:p>
    <w:p w:rsidR="00BA5ECF" w:rsidRDefault="00BA5ECF">
      <w:pPr>
        <w:pStyle w:val="BodyText"/>
        <w:spacing w:before="6"/>
        <w:rPr>
          <w:b/>
          <w:sz w:val="33"/>
        </w:rPr>
      </w:pPr>
    </w:p>
    <w:p w:rsidR="00BA5ECF" w:rsidRDefault="003C6DBE">
      <w:pPr>
        <w:pStyle w:val="BodyText"/>
        <w:spacing w:before="1"/>
        <w:ind w:left="111"/>
      </w:pPr>
      <w:r>
        <w:rPr>
          <w:u w:val="single"/>
        </w:rPr>
        <w:t>Additional information</w:t>
      </w:r>
    </w:p>
    <w:p w:rsidR="00BA5ECF" w:rsidRDefault="003C6DBE">
      <w:pPr>
        <w:pStyle w:val="ListParagraph"/>
        <w:numPr>
          <w:ilvl w:val="0"/>
          <w:numId w:val="1"/>
        </w:numPr>
        <w:tabs>
          <w:tab w:val="left" w:pos="256"/>
        </w:tabs>
        <w:ind w:left="255" w:hanging="145"/>
        <w:rPr>
          <w:sz w:val="26"/>
        </w:rPr>
      </w:pPr>
      <w:bookmarkStart w:id="0" w:name="_GoBack"/>
      <w:bookmarkEnd w:id="0"/>
      <w:r>
        <w:rPr>
          <w:sz w:val="26"/>
        </w:rPr>
        <w:t>NA</w:t>
      </w:r>
    </w:p>
    <w:p w:rsidR="00BA5ECF" w:rsidRDefault="00BA5ECF">
      <w:pPr>
        <w:pStyle w:val="BodyText"/>
        <w:rPr>
          <w:sz w:val="30"/>
        </w:rPr>
      </w:pPr>
    </w:p>
    <w:p w:rsidR="00BA5ECF" w:rsidRDefault="00BA5ECF">
      <w:pPr>
        <w:pStyle w:val="BodyText"/>
        <w:spacing w:before="6"/>
        <w:rPr>
          <w:sz w:val="27"/>
        </w:rPr>
      </w:pPr>
    </w:p>
    <w:p w:rsidR="00BA5ECF" w:rsidRDefault="003C6DBE">
      <w:pPr>
        <w:pStyle w:val="BodyText"/>
        <w:ind w:left="111"/>
      </w:pPr>
      <w:r>
        <w:rPr>
          <w:u w:val="single"/>
        </w:rPr>
        <w:t>Business benefits</w:t>
      </w:r>
    </w:p>
    <w:p w:rsidR="00BA5ECF" w:rsidRDefault="003C6DBE">
      <w:pPr>
        <w:pStyle w:val="BodyText"/>
        <w:spacing w:line="259" w:lineRule="auto"/>
        <w:ind w:left="111" w:right="449"/>
      </w:pPr>
      <w:r>
        <w:t>Increase in profits up to 20% as NPA will be reduced due to loan disbursal for only good borrowers</w:t>
      </w:r>
    </w:p>
    <w:sectPr w:rsidR="00BA5ECF">
      <w:pgSz w:w="11910" w:h="16840"/>
      <w:pgMar w:top="1340" w:right="1320" w:bottom="580" w:left="880" w:header="749" w:footer="3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DBE" w:rsidRDefault="003C6DBE">
      <w:r>
        <w:separator/>
      </w:r>
    </w:p>
  </w:endnote>
  <w:endnote w:type="continuationSeparator" w:id="0">
    <w:p w:rsidR="003C6DBE" w:rsidRDefault="003C6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altName w:val="Times New Roman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ECF" w:rsidRDefault="003C6DB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78.9pt;margin-top:815.95pt;width:288.1pt;height:13.05pt;z-index:-15812096;mso-position-horizontal-relative:page;mso-position-vertical-relative:page" filled="f" stroked="f">
          <v:textbox inset="0,0,0,0">
            <w:txbxContent>
              <w:p w:rsidR="00BA5ECF" w:rsidRDefault="003C6DBE">
                <w:pPr>
                  <w:spacing w:line="245" w:lineRule="exact"/>
                  <w:ind w:left="20"/>
                  <w:rPr>
                    <w:rFonts w:ascii="Carlito" w:hAnsi="Carlito"/>
                  </w:rPr>
                </w:pPr>
                <w:r>
                  <w:rPr>
                    <w:rFonts w:ascii="Carlito" w:hAnsi="Carlito"/>
                    <w:color w:val="FFFFFF"/>
                  </w:rPr>
                  <w:t>© B r a i n 4 c e E d u c a t i o n S o l u t i o n s P v t . L t d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84.85pt;margin-top:816.1pt;width:33.75pt;height:13.05pt;z-index:-15811584;mso-position-horizontal-relative:page;mso-position-vertical-relative:page" filled="f" stroked="f">
          <v:textbox inset="0,0,0,0">
            <w:txbxContent>
              <w:p w:rsidR="00BA5ECF" w:rsidRDefault="003C6DBE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  <w:color w:val="FFFFFF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rlito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4543D">
                  <w:rPr>
                    <w:rFonts w:ascii="Carlito"/>
                    <w:noProof/>
                    <w:color w:val="FFFFFF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DBE" w:rsidRDefault="003C6DBE">
      <w:r>
        <w:separator/>
      </w:r>
    </w:p>
  </w:footnote>
  <w:footnote w:type="continuationSeparator" w:id="0">
    <w:p w:rsidR="003C6DBE" w:rsidRDefault="003C6D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ECF" w:rsidRDefault="00BA5ECF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ECF" w:rsidRDefault="00BA5EC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D1E7E"/>
    <w:multiLevelType w:val="hybridMultilevel"/>
    <w:tmpl w:val="0C601BC6"/>
    <w:lvl w:ilvl="0" w:tplc="C862FA9C">
      <w:numFmt w:val="bullet"/>
      <w:lvlText w:val="-"/>
      <w:lvlJc w:val="left"/>
      <w:pPr>
        <w:ind w:left="168" w:hanging="144"/>
      </w:pPr>
      <w:rPr>
        <w:rFonts w:ascii="Caladea" w:eastAsia="Caladea" w:hAnsi="Caladea" w:cs="Caladea" w:hint="default"/>
        <w:w w:val="99"/>
        <w:sz w:val="26"/>
        <w:szCs w:val="26"/>
        <w:lang w:val="en-US" w:eastAsia="en-US" w:bidi="ar-SA"/>
      </w:rPr>
    </w:lvl>
    <w:lvl w:ilvl="1" w:tplc="FB8491B4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4DF2C494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3" w:tplc="01465B5E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4" w:tplc="ABD6CF9E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5" w:tplc="95C66BAA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 w:tplc="B0F2BDB0"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ar-SA"/>
      </w:rPr>
    </w:lvl>
    <w:lvl w:ilvl="7" w:tplc="A5AE9212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8" w:tplc="5D0E6D9E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A5ECF"/>
    <w:rsid w:val="0004543D"/>
    <w:rsid w:val="003C6DBE"/>
    <w:rsid w:val="00BA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1AB7F335-774A-4597-95A4-27F7A9BD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  <w:pPr>
      <w:spacing w:line="496" w:lineRule="exact"/>
      <w:ind w:left="694" w:right="69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454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43D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0454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43D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7: Supervised Learning - I</dc:title>
  <dc:subject>Case Study</dc:subject>
  <dc:creator>Puja Sharma</dc:creator>
  <cp:lastModifiedBy>Mohamed Azarudeen</cp:lastModifiedBy>
  <cp:revision>2</cp:revision>
  <dcterms:created xsi:type="dcterms:W3CDTF">2020-11-25T12:11:00Z</dcterms:created>
  <dcterms:modified xsi:type="dcterms:W3CDTF">2020-11-25T12:09:00Z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2020-11-25T00:00:00Z</vt:filetime>
  </property>
</Properties>
</file>