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79zn9t58ru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Cómo usaría la plataforma una persona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A continuación, se detallan las principales funcionalidades que permiten a los usuarios registrarse, explorar, comparar y gestionar información sobre instituciones y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Registro e Inicio de Sesión: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inicia su experiencia registrándose en la plataforma. Puede optar por registrar una cuenta utilizando sus datos personales o a través de sus cuentas de redes sociales, como Google o Facebook. 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Una vez registrado, el usuario inicia sesión para acceder a todas las funcionalidades personalizadas y seguras.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Exploración y Comparación de Instituciones: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explora la lista de instituciones educativas disponibles en la plataforma. Puede buscar instituciones por área de estudio o ubicación.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 seleccionar una institución, el usuario accede a una página con información detallada sobre esa institución, como mallas curriculares y programas ofrecidos.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también puede comparar varias instituciones simultáneamente. Utiliza una herramienta de comparación para visualizar las diferencias en la oferta académica y otros aspectos relevantes en una tabla comparativa.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Uso de Filtros para Buscar Carreras y Escuelas: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emplea filtros para refinar su búsqueda de carreras y escuelas. Puede filtrar por tipo de carrera, ubicación, modalidad y otros criterios para encontrar opciones que se alineen con sus intereses específicos.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Guardar y Gestionar Favoritos: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marca las instituciones y carreras de su interés como favoritas. Estas opciones guardadas se almacenan en su perfil, permitiendo un acceso rápido a la información y actualizaciones relacionadas.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Recuperación y Actualización de Información: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recuperar su contraseña en caso de olvido, utilizando el enlace de recuperación enviado a su correo electrónico.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 plataforma también ofrece actualizaciones periódicas sobre las instituciones y programas a los que el usuario está suscrito o ha marcado como favoritos.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Consulta de Perfiles de Egreso y Recomendaciones: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consulta los perfiles de egreso de las diferentes carreras para entender las competencias y conocimientos adquiridos al finalizar un programa.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recibe recomendaciones personalizadas sobre carreras e instituciones basadas en su comportamiento en la plataforma y sus preferencias.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Acceso a Soporte y FAQ: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acceder a una sección de Preguntas Frecuentes (FAQ) para resolver dudas comunes sin necesidad de contactar soporte.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 necesita ayuda adicional, el usuario puede contactar al soporte técnico para resolver problemas o recibir asistencia.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Responsividad y Accesibilidad: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disfruta de una experiencia fluida en diferentes dispositivos gracias al diseño responsive de la plataforma, adaptándose a móviles y tabletas sin pérdida de funcionalidad.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Cierre de Sesión: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cierra sesión de la plataforma cuando ha terminado de utilizarla, asegurándose de que nadie más pueda acceder a su cuenta desde su dispositivo.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