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31-08-2024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18:00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22:00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Avance primera entrega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Distribución de carga de actividades 1ra entrega Capstone.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02-09-2024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realizan actividades correspondientes a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Edición y finalización de Mockup BackOffice.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benchmarking competitivo.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historias de usuario más importantes con criterios de aceptación.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diagrama de arquitectura.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Finalización de Mockup BackOffice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HU con criterios de aceptación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diagrama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31-08-2022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Pendiente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Comparativa Benchmarking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Pendiente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(Pendiente/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de la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6E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6F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1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3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QYcjysZUm6i6jl1VP6KycoAfTA==">CgMxLjA4AHIhMVJMeHBOb1EwV09iQ1g4aTh4ek9oZmJ4aGJoREFNSlRz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