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05-09-2024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20:30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Avance primera entrega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Distribución de carga de actividades 1ra entrega Capstone.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09-09-2024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realizan actividades correspondientes a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presentación viernes 06-09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documentación grupal e individual de capstone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presentación viernes 06-09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documentación grupal e individual de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(Pendiente/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diagrama de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Comparativa Benchmarking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Preparación de PPT (presentación viernes 06/09)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6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6F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1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kl//qJWhovnyeZKTBzGdq8JOA==">CgMxLjA4AHIhMTBGLU03NHVpdG9oaWp0T1o5VTFiSjFyZUR4SGFwejRL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