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5B82"/>
          <w:sz w:val="36"/>
        </w:rPr>
        <w:t>Sprechtext - Euro Air Quality Pipeline</w:t>
      </w:r>
    </w:p>
    <w:p>
      <w:r>
        <w:rPr>
          <w:sz w:val="21"/>
        </w:rPr>
        <w:t>Version: 10 Folien inklusive Titelseite. Ziel: ca. 40 Sekunden pro Folie, Findings und Story statt Code.</w:t>
      </w:r>
    </w:p>
    <w:p>
      <w:pPr>
        <w:pStyle w:val="Heading2"/>
      </w:pPr>
      <w:r>
        <w:rPr>
          <w:rFonts w:ascii="Aptos Display" w:hAnsi="Aptos Display" w:eastAsia="Aptos Display"/>
          <w:b/>
          <w:color w:val="005B82"/>
          <w:sz w:val="27"/>
        </w:rPr>
        <w:t>Folie 1 - Titelfolie: Luftqualität in 8 europäischen Hauptstädten</w:t>
      </w:r>
    </w:p>
    <w:p>
      <w:pPr>
        <w:spacing w:after="180" w:line="252" w:lineRule="auto"/>
      </w:pPr>
      <w:r>
        <w:rPr>
          <w:rFonts w:ascii="Aptos" w:hAnsi="Aptos" w:eastAsia="Aptos"/>
          <w:sz w:val="21"/>
        </w:rPr>
        <w:t>Wir zeigen heute die Luftqualität in acht europäischen Hauptstädten. Die fachliche Frage lautet: Wie hoch liegen PM2.5, PM10 und NO2 im betrachteten Datensatz, und wie lässt sich die aktuelle Lage im Verhältnis zur historischen Mess-Baseline einordnen? Technisch ist das ein Big-Data-Engineering-Projekt mit drei Quellen: EEA, Wikipedia und Open-Meteo. Die Daten werden in einer Bronze-Silver-Gold-Architektur verarbeitet. Wichtig ist: In der Präsentation geht es nicht um Code, sondern um die Ergebnisse, ihre Grenzen und eine nachvollziehbare Datenstory.</w:t>
      </w:r>
    </w:p>
    <w:p>
      <w:pPr>
        <w:pStyle w:val="Heading2"/>
      </w:pPr>
      <w:r>
        <w:rPr>
          <w:rFonts w:ascii="Aptos Display" w:hAnsi="Aptos Display" w:eastAsia="Aptos Display"/>
          <w:b/>
          <w:color w:val="005B82"/>
          <w:sz w:val="27"/>
        </w:rPr>
        <w:t>Folie 2 - Leitfrage &amp; Rahmen: Warum diese technische Umsetzung?</w:t>
      </w:r>
    </w:p>
    <w:p>
      <w:pPr>
        <w:spacing w:after="180" w:line="252" w:lineRule="auto"/>
      </w:pPr>
      <w:r>
        <w:rPr>
          <w:rFonts w:ascii="Aptos" w:hAnsi="Aptos" w:eastAsia="Aptos"/>
          <w:sz w:val="21"/>
        </w:rPr>
        <w:t>Unsere technische Umsetzung folgt direkt aus der Fragestellung. Für robuste Aussagen brauchen wir historische Messdaten; dafür nutzen wir die validierten EEA-Werte. Für Stadtkontext, etwa Bevölkerungsdichte, verwenden wir Wikipedia als Web-Scraping-Quelle. Open-Meteo ergänzt aktuelle Modellwerte und bildet den Live-Pfad. Kafka und Spark sind hier nicht Selbstzweck: Sie zeigen, dass aktuelle Ereignisse in dieselbe Pipeline aufgenommen und gegen eine historische Baseline eingeordnet werden können. Bronze, Silver und Gold trennen Rohdaten, Bereinigung und analysefertige Ergebnisse.</w:t>
      </w:r>
    </w:p>
    <w:p>
      <w:pPr>
        <w:pStyle w:val="Heading2"/>
      </w:pPr>
      <w:r>
        <w:rPr>
          <w:rFonts w:ascii="Aptos Display" w:hAnsi="Aptos Display" w:eastAsia="Aptos Display"/>
          <w:b/>
          <w:color w:val="005B82"/>
          <w:sz w:val="27"/>
        </w:rPr>
        <w:t>Folie 3 - Datengrundlage: Was in die Analyse einfließt</w:t>
      </w:r>
    </w:p>
    <w:p>
      <w:pPr>
        <w:spacing w:after="180" w:line="252" w:lineRule="auto"/>
      </w:pPr>
      <w:r>
        <w:rPr>
          <w:rFonts w:ascii="Aptos" w:hAnsi="Aptos" w:eastAsia="Aptos"/>
          <w:sz w:val="21"/>
        </w:rPr>
        <w:t>Die Datengrundlage ist bewusst zuerst sichtbar gemacht, bevor wir interpretieren. Wir betrachten acht Städte, das vollständige Kalenderjahr 2025 und drei Schadstoffe. Historisch stehen dahinter 2,35 Millionen validierte EEA-Stundenwerte, die zu 7.938 Tagesmitteln in der Gold-Schicht verdichtet wurden. Zusätzlich gibt es 192 Open-Meteo-Liveevents, also 8 Städte mal 24 Stunden. Die drei Quellen haben unterschiedliche Rollen: EEA ist die Messbasis, Wikipedia liefert Kontext, Open-Meteo liefert aktuelle Modellwerte. Diese Quellen werden nicht unkritisch gleichgesetzt.</w:t>
      </w:r>
    </w:p>
    <w:p>
      <w:pPr>
        <w:pStyle w:val="Heading2"/>
      </w:pPr>
      <w:r>
        <w:rPr>
          <w:rFonts w:ascii="Aptos Display" w:hAnsi="Aptos Display" w:eastAsia="Aptos Display"/>
          <w:b/>
          <w:color w:val="005B82"/>
          <w:sz w:val="27"/>
        </w:rPr>
        <w:t>Folie 4 - Befund 1: Alle Städte über dem NO2-WHO-Richtwert</w:t>
      </w:r>
    </w:p>
    <w:p>
      <w:pPr>
        <w:spacing w:after="180" w:line="252" w:lineRule="auto"/>
      </w:pPr>
      <w:r>
        <w:rPr>
          <w:rFonts w:ascii="Aptos" w:hAnsi="Aptos" w:eastAsia="Aptos"/>
          <w:sz w:val="21"/>
        </w:rPr>
        <w:t>Der erste Befund ist der klarste: Alle acht Städte liegen beim Jahresmittel für NO2 über dem WHO-2021-Richtwert von 10 Mikrogramm pro Kubikmeter. Die Spannweite reicht von 15,3 bis 25,0 Mikrogramm, also ungefähr das 1,5- bis 2,5-Fache der WHO-Empfehlung. Auch PM2.5 liegt bei allen Städten mit validierter PM2.5-Referenz über dem WHO-Wert von 5. Wichtig ist die Einschränkung bei Rom: Dort fehlen validierte EEA-Werte für PM2.5 und PM10. Diese Lücke wird offengelegt, nicht aufgefüllt.</w:t>
      </w:r>
    </w:p>
    <w:p>
      <w:pPr>
        <w:pStyle w:val="Heading2"/>
      </w:pPr>
      <w:r>
        <w:rPr>
          <w:rFonts w:ascii="Aptos Display" w:hAnsi="Aptos Display" w:eastAsia="Aptos Display"/>
          <w:b/>
          <w:color w:val="005B82"/>
          <w:sz w:val="27"/>
        </w:rPr>
        <w:t>Folie 5 - Befund 2: PM2.5 - Warschau und Prag führen</w:t>
      </w:r>
    </w:p>
    <w:p>
      <w:pPr>
        <w:spacing w:after="180" w:line="252" w:lineRule="auto"/>
      </w:pPr>
      <w:r>
        <w:rPr>
          <w:rFonts w:ascii="Aptos" w:hAnsi="Aptos" w:eastAsia="Aptos"/>
          <w:sz w:val="21"/>
        </w:rPr>
        <w:t>Beim Feinstaub PM2.5 liegen Warschau und Prag mit etwa 14,7 beziehungsweise 14,5 Mikrogramm pro Kubikmeter an der Spitze. Am unteren Ende stehen Madrid, Amsterdam und Wien mit ungefähr 9 bis 10 Mikrogramm. Trotzdem liegen alle vergleichbaren Städte deutlich über dem WHO-Wert von 5. Die Fehlerbalken sind hier wesentlich: Sie zeigen die Schwankung der Tageswerte. Kleine Unterschiede zwischen benachbarten Städten dürfen daher nicht als sichere Rangunterschiede überinterpretiert werden. Die Aussage bleibt deskriptiv und auf den betrachteten Datensatz begrenzt.</w:t>
      </w:r>
    </w:p>
    <w:p>
      <w:pPr>
        <w:pStyle w:val="Heading2"/>
      </w:pPr>
      <w:r>
        <w:rPr>
          <w:rFonts w:ascii="Aptos Display" w:hAnsi="Aptos Display" w:eastAsia="Aptos Display"/>
          <w:b/>
          <w:color w:val="005B82"/>
          <w:sz w:val="27"/>
        </w:rPr>
        <w:t>Folie 6 - Befund 3: Mittelwerte allein reichen nicht</w:t>
      </w:r>
    </w:p>
    <w:p>
      <w:pPr>
        <w:spacing w:after="180" w:line="252" w:lineRule="auto"/>
      </w:pPr>
      <w:r>
        <w:rPr>
          <w:rFonts w:ascii="Aptos" w:hAnsi="Aptos" w:eastAsia="Aptos"/>
          <w:sz w:val="21"/>
        </w:rPr>
        <w:t>Die Mittelwerte erzählen nur einen Teil der Geschichte. Die Boxplots zeigen, dass der Median bei jedem Schadstoff bereits über dem WHO-Richtwert liegt. Es handelt sich also nicht nur um einzelne Ausreißer. Gleichzeitig zeigen die langen Oberschwänze stark belastete Tage. Die Zeitreihe macht sichtbar, dass PM2.5-Spitzen besonders im Winter auftreten. Eine plausible fachliche Einordnung sind Heizen und Inversionswetterlagen. Das ist aber kein kausaler Nachweis, sondern eine vorsichtige Interpretation eines bekannten Musters. Fehlende Tage werden nicht interpoliert.</w:t>
      </w:r>
    </w:p>
    <w:p>
      <w:pPr>
        <w:pStyle w:val="Heading2"/>
      </w:pPr>
      <w:r>
        <w:rPr>
          <w:rFonts w:ascii="Aptos Display" w:hAnsi="Aptos Display" w:eastAsia="Aptos Display"/>
          <w:b/>
          <w:color w:val="005B82"/>
          <w:sz w:val="27"/>
        </w:rPr>
        <w:t>Folie 7 - Befund 4: Bevölkerungsdichte erklärt PM2.5 nicht belastbar</w:t>
      </w:r>
    </w:p>
    <w:p>
      <w:pPr>
        <w:spacing w:after="180" w:line="252" w:lineRule="auto"/>
      </w:pPr>
      <w:r>
        <w:rPr>
          <w:rFonts w:ascii="Aptos" w:hAnsi="Aptos" w:eastAsia="Aptos"/>
          <w:sz w:val="21"/>
        </w:rPr>
        <w:t>Hier verknüpfen wir zwei Quellen: Bevölkerungsdichte aus Wikipedia und PM2.5 aus EEA-Messdaten. Die naheliegende Vermutung wäre: dichtere Städte haben höhere Belastung. Der Zusammenhang ist in unserem Datensatz aber nicht robust. Über alle vergleichbaren Städte liegt die Korrelation ungefähr bei minus 0,23, ohne Paris kippt sie auf etwa minus 0,95. Paris ist ein Sonderfall, weil Wikipedia Paris als Kernkommune mit rund 105 Quadratkilometern führt. Diese Flächenabgrenzung ist mit den anderen Städten nicht direkt vergleichbar. Deshalb keine Kausalbehauptung.</w:t>
      </w:r>
    </w:p>
    <w:p>
      <w:pPr>
        <w:pStyle w:val="Heading2"/>
      </w:pPr>
      <w:r>
        <w:rPr>
          <w:rFonts w:ascii="Aptos Display" w:hAnsi="Aptos Display" w:eastAsia="Aptos Display"/>
          <w:b/>
          <w:color w:val="005B82"/>
          <w:sz w:val="27"/>
        </w:rPr>
        <w:t>Folie 8 - Befund 5: Aktuelle Lage gegen historische EEA-Median-Baseline</w:t>
      </w:r>
    </w:p>
    <w:p>
      <w:pPr>
        <w:spacing w:after="180" w:line="252" w:lineRule="auto"/>
      </w:pPr>
      <w:r>
        <w:rPr>
          <w:rFonts w:ascii="Aptos" w:hAnsi="Aptos" w:eastAsia="Aptos"/>
          <w:sz w:val="21"/>
        </w:rPr>
        <w:t>Diese Folie verbindet die historische Analyse mit dem Live-Pfad. Aus den EEA-Tageswerten bilden wir je Stadt und Schadstoff den historischen Median für 2025. Die aktuellen Open-Meteo-Modellwerte werden über Kafka erzeugt, von Spark gelesen und anschließend gegen diesen Median eingeordnet. Positive Abweichungen bedeuten: Der aktuelle Modellwert liegt über der historischen Median-Baseline. Negative Abweichungen bedeuten: Er liegt darunter. Es gibt 24 mögliche Paare, davon 22 mit historischer Referenz und 2 ohne Referenz, nämlich Rom bei PM2.5 und PM10. Der Vergleich bleibt explorativ.</w:t>
      </w:r>
    </w:p>
    <w:p>
      <w:pPr>
        <w:pStyle w:val="Heading2"/>
      </w:pPr>
      <w:r>
        <w:rPr>
          <w:rFonts w:ascii="Aptos Display" w:hAnsi="Aptos Display" w:eastAsia="Aptos Display"/>
          <w:b/>
          <w:color w:val="005B82"/>
          <w:sz w:val="27"/>
        </w:rPr>
        <w:t>Folie 9 - Einordnung: Was die Daten nicht sagen</w:t>
      </w:r>
    </w:p>
    <w:p>
      <w:pPr>
        <w:spacing w:after="180" w:line="252" w:lineRule="auto"/>
      </w:pPr>
      <w:r>
        <w:rPr>
          <w:rFonts w:ascii="Aptos" w:hAnsi="Aptos" w:eastAsia="Aptos"/>
          <w:sz w:val="21"/>
        </w:rPr>
        <w:t>Diese Folie ist methodisch wichtig. Erstens: Wir beschreiben Muster, behaupten aber keine Ursachen. Zweitens: Es gibt keine pauschale Rangliste der Städte, weil sich die Reihenfolge je Schadstoff ändert. Drittens: Datenlücken bleiben Datenlücken; Rom wird bei fehlenden PM-Werten nicht geschätzt. Viertens: EEA und Open-Meteo werden sauber getrennt. EEA sind historische Messdaten, Open-Meteo sind aktuelle Modellwerte. Besonders der Live-vs-Median-Vergleich ist daher eine Lageeinordnung, aber kein Ersatz für eine historische Jahresanalyse.</w:t>
      </w:r>
    </w:p>
    <w:p>
      <w:pPr>
        <w:pStyle w:val="Heading2"/>
      </w:pPr>
      <w:r>
        <w:rPr>
          <w:rFonts w:ascii="Aptos Display" w:hAnsi="Aptos Display" w:eastAsia="Aptos Display"/>
          <w:b/>
          <w:color w:val="005B82"/>
          <w:sz w:val="27"/>
        </w:rPr>
        <w:t>Folie 10 - Fazit: Drei Aussagen zum Mitnehmen</w:t>
      </w:r>
    </w:p>
    <w:p>
      <w:pPr>
        <w:spacing w:after="180" w:line="252" w:lineRule="auto"/>
      </w:pPr>
      <w:r>
        <w:rPr>
          <w:rFonts w:ascii="Aptos" w:hAnsi="Aptos" w:eastAsia="Aptos"/>
          <w:sz w:val="21"/>
        </w:rPr>
        <w:t>Drei Aussagen sollen hängen bleiben. Erstens: NO2 ist der klarste Befund. Alle acht Städte überschreiten den WHO-NO2-Richtwert, mit Jahresmitteln zwischen 15 und 25 Mikrogramm statt 10. Zweitens: Schadstoff schlägt Stadt. PM2.5, PM10 und NO2 zeigen unterschiedliche Muster, daher wäre eine einzige Gesamtrangliste irreführend. Drittens: Die Live-Daten werden sinnvoll eingeordnet, aber nicht mit EEA gleichgesetzt. Open-Meteo liefert aktuelle Modellwerte, die explorativ gegen den historischen EEA-Median gelesen werden. Der Code und die Ergebnisse liegen im Repository.</w:t>
      </w:r>
    </w:p>
    <w:p>
      <w:r>
        <w:rPr>
          <w:b/>
          <w:color w:val="005B82"/>
          <w:sz w:val="24"/>
        </w:rPr>
        <w:t>Hinweis zur wissenschaftlichen Sprache</w:t>
      </w:r>
    </w:p>
    <w:p>
      <w:r>
        <w:t>Konsequent verwenden: "im betrachteten Datensatz", "explorativ", "historische EEA-Mess-Baseline", "aktueller Open-Meteo-Modellwert". Vermeiden: "beweist", "bestätigt", "illegal", "Ursache".</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