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 w:val="0"/>
        <w:widowControl/>
        <w:spacing w:before="0" w:after="24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40"/>
        </w:rPr>
        <w:t>HealthAgent 模块一测试报告</w:t>
      </w:r>
    </w:p>
    <w:p>
      <w:pPr>
        <w:keepNext w:val="0"/>
        <w:widowControl/>
        <w:spacing w:before="0" w:after="24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0"/>
        </w:rPr>
        <w:t>陆京超 M202677236　袁立沛 M202677260　|　2026年9月</w:t>
      </w:r>
    </w:p>
    <w:p>
      <w:pPr>
        <w:pStyle w:val="1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1 被测对象概述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本次测试HealthAgent的后端接口，主要包括注册登录、个人信息和血压记录。后端使用FastAPI和SQLAlchemy。选定源码11个文件、732行；测试4个文件、362行，含空行和注释。</w:t>
      </w:r>
    </w:p>
    <w:p>
      <w:pPr>
        <w:pStyle w:val="1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2 测试计划与策略</w:t>
      </w:r>
    </w:p>
    <w:p>
      <w:pPr>
        <w:pStyle w:val="2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2.1 测试范围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检查正常操作是否成功，以及错误输入、未登录和跨用户访问是否被拒绝。本次不测试前端页面、OCR和问答功能。</w:t>
      </w:r>
    </w:p>
    <w:p>
      <w:pPr>
        <w:pStyle w:val="2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2.2 测试方法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使用等价类和场景法。等价类检查正确、错误和无效输入；场景法检查注册后登录、修改密码后登录、记录修改和删除等连续操作。</w:t>
      </w:r>
    </w:p>
    <w:p>
      <w:pPr>
        <w:pStyle w:val="2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2.3 测试环境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MacBook Air M2，16 GB内存，macOS 26.5.2。Python 3.12.14、pytest 8.3.3、FastAPI 0.115.0、SQLAlchemy 2.0.52、SQLite 3.53.1。测试使用临时内存数据库，不使用真实账号。</w:t>
      </w:r>
    </w:p>
    <w:p>
      <w:pPr>
        <w:pStyle w:val="1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3 测试用例设计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636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26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条数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认证</w:t>
            </w:r>
          </w:p>
        </w:tc>
        <w:tc>
          <w:tcPr>
            <w:tcW w:type="dxa" w:w="26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个人信息</w:t>
            </w:r>
          </w:p>
        </w:tc>
        <w:tc>
          <w:tcPr>
            <w:tcW w:type="dxa" w:w="26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血压记录</w:t>
            </w:r>
          </w:p>
        </w:tc>
        <w:tc>
          <w:tcPr>
            <w:tcW w:type="dxa" w:w="26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263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30</w:t>
            </w:r>
          </w:p>
        </w:tc>
      </w:tr>
    </w:tbl>
    <w:p>
      <w:pPr>
        <w:keepNext w:val="0"/>
        <w:widowControl/>
        <w:spacing w:before="0" w:after="4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4"/>
        </w:rPr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共30条自动化用例：等价类16条，场景法14条。注册参数校验的4组输入分别计数。完整步骤和结果见Excel用例清单。</w:t>
      </w:r>
    </w:p>
    <w:p>
      <w:pPr>
        <w:pStyle w:val="2"/>
        <w:keepNext/>
        <w:pageBreakBefore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3.1 典型用例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025"/>
        <w:gridCol w:w="3090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用例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预期结果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TC-001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填写有效信息注册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201，返回用户和令牌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TC-003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使用已有邮箱再次注册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409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TC-007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密码填写123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422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TC-019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改密后分别用新旧密码登录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旧密码401，新密码200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TC-025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用户B读取用户A的记录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404，B列表为空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TC-028</w:t>
            </w:r>
          </w:p>
        </w:tc>
        <w:tc>
          <w:tcPr>
            <w:tcW w:type="dxa" w:w="402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录入120/80、130/85、140/90</w:t>
            </w:r>
          </w:p>
        </w:tc>
        <w:tc>
          <w:tcPr>
            <w:tcW w:type="dxa" w:w="309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共3条，收缩压平均130</w:t>
            </w:r>
          </w:p>
        </w:tc>
      </w:tr>
    </w:tbl>
    <w:p>
      <w:pPr>
        <w:keepNext w:val="0"/>
        <w:widowControl/>
        <w:spacing w:before="0" w:after="4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4"/>
        </w:rPr>
      </w:r>
    </w:p>
    <w:p>
      <w:pPr>
        <w:pStyle w:val="1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4 自动化测试实现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使用pytest和FastAPI TestClient发送请求并检查响应。每条测试准备自己的数据，结束后清理。测试文件为test_auth.py、test_users.py和test_bp_records.py。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在交付包目录运行：bash run_module1_tests.sh。脚本执行30条用例，保存日志和XML结果。运行前需按源码工程README安装backend/.venv依赖。</w:t>
      </w:r>
    </w:p>
    <w:p>
      <w:pPr>
        <w:pStyle w:val="2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4.1 关键实现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通过fixture建立内存数据库，并替换应用的get_db依赖，使测试与正式数据分开。以下为conftest.py中的关键操作：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0"/>
        </w:rPr>
        <w:t>eng = create_engine("sqlite://",</w:t>
        <w:br/>
        <w:t xml:space="preserve">    connect_args={"check_same_thread": False},</w:t>
        <w:br/>
        <w:t xml:space="preserve">    poolclass=StaticPool, future=True)</w:t>
        <w:br/>
        <w:t>Base.metadata.create_all(bind=eng)</w:t>
        <w:br/>
        <w:t>yield eng</w:t>
        <w:br/>
        <w:t>Base.metadata.drop_all(bind=eng)</w:t>
      </w:r>
    </w:p>
    <w:p>
      <w:pPr>
        <w:pStyle w:val="1"/>
        <w:keepNext/>
        <w:pageBreakBefore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5 执行结果与缺陷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4904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测试</w:t>
            </w:r>
          </w:p>
        </w:tc>
        <w:tc>
          <w:tcPr>
            <w:tcW w:type="dxa" w:w="49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原有功能用例</w:t>
            </w:r>
          </w:p>
        </w:tc>
        <w:tc>
          <w:tcPr>
            <w:tcW w:type="dxa" w:w="49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30通过，0失败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缺陷专项修复前</w:t>
            </w:r>
          </w:p>
        </w:tc>
        <w:tc>
          <w:tcPr>
            <w:tcW w:type="dxa" w:w="49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3失败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缺陷专项修复后</w:t>
            </w:r>
          </w:p>
        </w:tc>
        <w:tc>
          <w:tcPr>
            <w:tcW w:type="dxa" w:w="49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3通过</w:t>
            </w:r>
          </w:p>
        </w:tc>
      </w:tr>
    </w:tbl>
    <w:p>
      <w:pPr>
        <w:keepNext w:val="0"/>
        <w:widowControl/>
        <w:spacing w:before="0" w:after="4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4"/>
        </w:rPr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以上为2026-09-12保存的完整本地版本记录。30条功能用例和3条专项检查分开统计。</w:t>
      </w:r>
    </w:p>
    <w:p>
      <w:pPr>
        <w:pStyle w:val="2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5.1 发现的问题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D01：长密码后缀不同仍能登录，改用bcrypt_sha256后验证完整密码。D02：必填字段设为null返回500，增加校验后返回422。D03：等价时区查询结果不同，统一按UTC存取后结果一致。详细步骤见缺陷清单。</w:t>
      </w:r>
    </w:p>
    <w:p>
      <w:pPr>
        <w:pStyle w:val="2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4"/>
        </w:rPr>
        <w:t>5.2 测试结论</w:t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本次范围内的用例通过，三个问题已在本地修复并验证。测试还不全面，没有测覆盖率；旧长密码需要重置，历史时间数据尚未校正。</w:t>
      </w:r>
    </w:p>
    <w:p>
      <w:pPr>
        <w:pStyle w:val="1"/>
        <w:keepNext/>
        <w:widowControl/>
        <w:spacing w:before="120" w:after="6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Heiti SC"/>
          <w:b/>
          <w:color w:val="000000"/>
          <w:sz w:val="28"/>
        </w:rPr>
        <w:t>6 小组成员分工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020"/>
        <w:gridCol w:w="586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比例</w:t>
            </w:r>
          </w:p>
        </w:tc>
        <w:tc>
          <w:tcPr>
            <w:tcW w:type="dxa" w:w="58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DEDED"/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/>
                <w:color w:val="000000"/>
                <w:sz w:val="20"/>
              </w:rPr>
              <w:t>负责内容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袁立沛</w:t>
            </w:r>
          </w:p>
        </w:tc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58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TC-016至TC-030；D02；D03复现和回归；报告第3、5章及缺陷清单。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陆京超</w:t>
            </w:r>
          </w:p>
        </w:tc>
        <w:tc>
          <w:tcPr>
            <w:tcW w:type="dxa" w:w="102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center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58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keepNext w:val="0"/>
              <w:spacing w:after="0" w:line="264" w:lineRule="auto"/>
              <w:jc w:val="left"/>
              <w:snapToGrid w:val="0"/>
            </w:pPr>
            <w:r>
              <w:rPr>
                <w:rFonts w:ascii="Times New Roman" w:hAnsi="Times New Roman" w:eastAsia="Songti SC"/>
                <w:b w:val="0"/>
                <w:color w:val="000000"/>
                <w:sz w:val="20"/>
              </w:rPr>
              <w:t>TC-001至TC-015；D01；D03根因和UTC方案；报告第1、2、4章及整合。</w:t>
            </w:r>
          </w:p>
        </w:tc>
      </w:tr>
    </w:tbl>
    <w:p>
      <w:pPr>
        <w:keepNext w:val="0"/>
        <w:widowControl/>
        <w:spacing w:before="0" w:after="4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4"/>
        </w:rPr>
      </w:r>
    </w:p>
    <w:p>
      <w:pPr>
        <w:keepNext w:val="0"/>
        <w:widowControl/>
        <w:spacing w:before="0" w:after="80" w:line="269" w:lineRule="auto"/>
        <w:ind w:firstLine="0"/>
        <w:jc w:val="left"/>
        <w:numPr>
          <w:numId w:val="0"/>
        </w:numPr>
        <w:snapToGrid w:val="0"/>
      </w:pPr>
      <w:r>
        <w:rPr>
          <w:rFonts w:ascii="Times New Roman" w:hAnsi="Times New Roman" w:eastAsia="Songti SC"/>
          <w:b w:val="0"/>
          <w:color w:val="000000"/>
          <w:sz w:val="21"/>
        </w:rPr>
        <w:t>袁立沛9月13日完成分配工作；陆京超9月14日计划完成。D03共同负责，有效缺陷总数仍为3个。个人新增代码行数未单独统计。第一批Git版本尚不含D03修复，状态见提交说明。</w:t>
      </w: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