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aps/>
          <w:color w:val="1F4E79"/>
          <w:sz w:val="36"/>
          <w:szCs w:val="36"/>
        </w:rPr>
        <w:t xml:space="preserve">POWER BI DASHBOARD SUMMARY</w:t>
      </w:r>
    </w:p>
    <w:p>
      <w:pPr>
        <w:spacing w:after="80"/>
        <w:jc w:val="center"/>
      </w:pPr>
      <w:r>
        <w:rPr>
          <w:b/>
          <w:bCs/>
          <w:color w:val="2E75B6"/>
          <w:sz w:val="26"/>
          <w:szCs w:val="26"/>
        </w:rPr>
        <w:t xml:space="preserve">Customer Decision Intelligence System</w:t>
      </w:r>
    </w:p>
    <w:p>
      <w:pPr>
        <w:spacing w:after="80"/>
        <w:jc w:val="center"/>
      </w:pPr>
      <w:r>
        <w:rPr>
          <w:i/>
          <w:iCs/>
          <w:color w:val="595959"/>
          <w:sz w:val="20"/>
          <w:szCs w:val="20"/>
        </w:rPr>
        <w:t xml:space="preserve">Data Insights  •  Business Recommendations  •  Explainable AI in Practice</w:t>
      </w:r>
    </w:p>
    <w:p>
      <w:pPr>
        <w:pBdr>
          <w:bottom w:val="single" w:color="F2C811" w:sz="6" w:space="1"/>
        </w:pBdr>
        <w:spacing w:after="160"/>
      </w:pPr>
      <w:r>
        <w:t xml:space="preserve"/>
      </w:r>
    </w:p>
    <w:p>
      <w:pPr>
        <w:pStyle w:val="Heading1"/>
      </w:pPr>
      <w:r>
        <w:rPr>
          <w:b/>
          <w:bCs/>
          <w:color w:val="1F4E79"/>
          <w:sz w:val="28"/>
          <w:szCs w:val="28"/>
        </w:rPr>
        <w:t xml:space="preserve">1. Dashboard KPI Overview</w:t>
      </w:r>
    </w:p>
    <w:p>
      <w:pPr>
        <w:spacing w:after="120"/>
      </w:pPr>
      <w:r>
        <w:rPr>
          <w:sz w:val="22"/>
          <w:szCs w:val="22"/>
        </w:rPr>
        <w:t xml:space="preserve">The dashboard header row presents three real-time KPI cards that provide an at-a-glance health check of the entire customer base: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
        <w:gridCol w:w="2800"/>
        <w:gridCol w:w="240"/>
        <w:gridCol w:w="2800"/>
      </w:tblGrid>
      <w:tr>
        <w:tc>
          <w:tcPr>
            <w:tcW w:type="dxa" w:w="2800"/>
            <w:tcBorders>
              <w:top w:val="single" w:color="F2C811" w:sz="8"/>
              <w:left w:val="single" w:color="F2C811" w:sz="8"/>
              <w:bottom w:val="single" w:color="F2C811" w:sz="8"/>
              <w:right w:val="single" w:color="F2C811" w:sz="8"/>
            </w:tcBorders>
            <w:shd w:fill="FFF9E6" w:val="clear"/>
            <w:tcMar>
              <w:top w:type="dxa" w:w="120"/>
              <w:left w:type="dxa" w:w="160"/>
              <w:bottom w:type="dxa" w:w="120"/>
              <w:right w:type="dxa" w:w="160"/>
            </w:tcMar>
          </w:tcPr>
          <w:p>
            <w:pPr>
              <w:jc w:val="center"/>
            </w:pPr>
            <w:r>
              <w:rPr>
                <w:b/>
                <w:bCs/>
                <w:color w:val="1F4E79"/>
                <w:sz w:val="40"/>
                <w:szCs w:val="40"/>
              </w:rPr>
              <w:t xml:space="preserve">4,339</w:t>
            </w:r>
          </w:p>
          <w:p>
            <w:pPr>
              <w:jc w:val="center"/>
            </w:pPr>
            <w:r>
              <w:rPr>
                <w:b/>
                <w:bCs/>
                <w:color w:val="595959"/>
                <w:sz w:val="20"/>
                <w:szCs w:val="20"/>
              </w:rPr>
              <w:t xml:space="preserve">Total Customers</w:t>
            </w:r>
          </w:p>
          <w:p>
            <w:pPr>
              <w:jc w:val="center"/>
            </w:pPr>
            <w:r>
              <w:rPr>
                <w:i/>
                <w:iCs/>
                <w:color w:val="808080"/>
                <w:sz w:val="18"/>
                <w:szCs w:val="18"/>
              </w:rPr>
              <w:t xml:space="preserve">Unique paying customers</w:t>
            </w:r>
          </w:p>
        </w:tc>
        <w:tc>
          <w:tcPr>
            <w:tcW w:type="dxa" w:w="240"/>
            <w:tcBorders>
              <w:top w:val="none"/>
              <w:left w:val="none"/>
              <w:bottom w:val="none"/>
              <w:right w:val="none"/>
            </w:tcBorders>
          </w:tcPr>
          <w:p>
            <w:r>
              <w:t xml:space="preserve"/>
            </w:r>
          </w:p>
        </w:tc>
        <w:tc>
          <w:tcPr>
            <w:tcW w:type="dxa" w:w="2800"/>
            <w:tcBorders>
              <w:top w:val="single" w:color="F2C811" w:sz="8"/>
              <w:left w:val="single" w:color="F2C811" w:sz="8"/>
              <w:bottom w:val="single" w:color="F2C811" w:sz="8"/>
              <w:right w:val="single" w:color="F2C811" w:sz="8"/>
            </w:tcBorders>
            <w:shd w:fill="FFF9E6" w:val="clear"/>
            <w:tcMar>
              <w:top w:type="dxa" w:w="120"/>
              <w:left w:type="dxa" w:w="160"/>
              <w:bottom w:type="dxa" w:w="120"/>
              <w:right w:type="dxa" w:w="160"/>
            </w:tcMar>
          </w:tcPr>
          <w:p>
            <w:pPr>
              <w:jc w:val="center"/>
            </w:pPr>
            <w:r>
              <w:rPr>
                <w:b/>
                <w:bCs/>
                <w:color w:val="1F4E79"/>
                <w:sz w:val="40"/>
                <w:szCs w:val="40"/>
              </w:rPr>
              <w:t xml:space="preserve">£8.89M</w:t>
            </w:r>
          </w:p>
          <w:p>
            <w:pPr>
              <w:jc w:val="center"/>
            </w:pPr>
            <w:r>
              <w:rPr>
                <w:b/>
                <w:bCs/>
                <w:color w:val="595959"/>
                <w:sz w:val="20"/>
                <w:szCs w:val="20"/>
              </w:rPr>
              <w:t xml:space="preserve">Total Revenue</w:t>
            </w:r>
          </w:p>
          <w:p>
            <w:pPr>
              <w:jc w:val="center"/>
            </w:pPr>
            <w:r>
              <w:rPr>
                <w:i/>
                <w:iCs/>
                <w:color w:val="808080"/>
                <w:sz w:val="18"/>
                <w:szCs w:val="18"/>
              </w:rPr>
              <w:t xml:space="preserve">Confirmed purchases only</w:t>
            </w:r>
          </w:p>
        </w:tc>
        <w:tc>
          <w:tcPr>
            <w:tcW w:type="dxa" w:w="240"/>
            <w:tcBorders>
              <w:top w:val="none"/>
              <w:left w:val="none"/>
              <w:bottom w:val="none"/>
              <w:right w:val="none"/>
            </w:tcBorders>
          </w:tcPr>
          <w:p>
            <w:r>
              <w:t xml:space="preserve"/>
            </w:r>
          </w:p>
        </w:tc>
        <w:tc>
          <w:tcPr>
            <w:tcW w:type="dxa" w:w="2800"/>
            <w:tcBorders>
              <w:top w:val="single" w:color="F2C811" w:sz="8"/>
              <w:left w:val="single" w:color="F2C811" w:sz="8"/>
              <w:bottom w:val="single" w:color="F2C811" w:sz="8"/>
              <w:right w:val="single" w:color="F2C811" w:sz="8"/>
            </w:tcBorders>
            <w:shd w:fill="FFF9E6" w:val="clear"/>
            <w:tcMar>
              <w:top w:type="dxa" w:w="120"/>
              <w:left w:type="dxa" w:w="160"/>
              <w:bottom w:type="dxa" w:w="120"/>
              <w:right w:type="dxa" w:w="160"/>
            </w:tcMar>
          </w:tcPr>
          <w:p>
            <w:pPr>
              <w:jc w:val="center"/>
            </w:pPr>
            <w:r>
              <w:rPr>
                <w:b/>
                <w:bCs/>
                <w:color w:val="1F4E79"/>
                <w:sz w:val="40"/>
                <w:szCs w:val="40"/>
              </w:rPr>
              <w:t xml:space="preserve">£2,050</w:t>
            </w:r>
          </w:p>
          <w:p>
            <w:pPr>
              <w:jc w:val="center"/>
            </w:pPr>
            <w:r>
              <w:rPr>
                <w:b/>
                <w:bCs/>
                <w:color w:val="595959"/>
                <w:sz w:val="20"/>
                <w:szCs w:val="20"/>
              </w:rPr>
              <w:t xml:space="preserve">Avg Customer Value</w:t>
            </w:r>
          </w:p>
          <w:p>
            <w:pPr>
              <w:jc w:val="center"/>
            </w:pPr>
            <w:r>
              <w:rPr>
                <w:i/>
                <w:iCs/>
                <w:color w:val="808080"/>
                <w:sz w:val="18"/>
                <w:szCs w:val="18"/>
              </w:rPr>
              <w:t xml:space="preserve">Per-customer spend</w:t>
            </w:r>
          </w:p>
        </w:tc>
      </w:tr>
    </w:tbl>
    <w:p>
      <w:pPr>
        <w:spacing w:after="80"/>
      </w:pPr>
      <w:r>
        <w:t xml:space="preserve"/>
      </w:r>
    </w:p>
    <w:p>
      <w:pPr>
        <w:spacing w:after="120"/>
      </w:pPr>
      <w:r>
        <w:rPr>
          <w:sz w:val="22"/>
          <w:szCs w:val="22"/>
        </w:rPr>
        <w:t xml:space="preserve">These KPIs update dynamically when the segment slicer is applied. For example, filtering to Best Customers reveals that just 488 customers generate £4.42M in revenue at an average value of £9,060 — nearly 4.5× the overall average. This real-time drill-down capability is central to the explainability design of the dashboard.</w:t>
      </w:r>
    </w:p>
    <w:p>
      <w:pPr>
        <w:spacing w:after="80"/>
      </w:pPr>
      <w:r>
        <w:t xml:space="preserve"/>
      </w:r>
    </w:p>
    <w:p>
      <w:pPr>
        <w:pStyle w:val="Heading1"/>
      </w:pPr>
      <w:r>
        <w:rPr>
          <w:b/>
          <w:bCs/>
          <w:color w:val="1F4E79"/>
          <w:sz w:val="28"/>
          <w:szCs w:val="28"/>
        </w:rPr>
        <w:t xml:space="preserve">2. Customer Segmentation Insights</w:t>
      </w:r>
    </w:p>
    <w:p>
      <w:pPr>
        <w:pStyle w:val="Heading2"/>
      </w:pPr>
      <w:r>
        <w:rPr>
          <w:b/>
          <w:bCs/>
          <w:color w:val="2E75B6"/>
          <w:sz w:val="24"/>
          <w:szCs w:val="24"/>
        </w:rPr>
        <w:t xml:space="preserve">2.1  Segment Distribution (Pie Chart)</w:t>
      </w:r>
    </w:p>
    <w:p>
      <w:pPr>
        <w:spacing w:after="120"/>
      </w:pPr>
      <w:r>
        <w:rPr>
          <w:sz w:val="22"/>
          <w:szCs w:val="22"/>
        </w:rPr>
        <w:t xml:space="preserve">The pie chart reveals the population split across four behavioural segments:</w:t>
      </w:r>
    </w:p>
    <w:p>
      <w:pPr>
        <w:pStyle w:val="ListParagraph"/>
        <w:numPr>
          <w:ilvl w:val="0"/>
          <w:numId w:val="2"/>
        </w:numPr>
        <w:spacing w:after="100"/>
      </w:pPr>
      <w:r>
        <w:rPr>
          <w:sz w:val="22"/>
          <w:szCs w:val="22"/>
        </w:rPr>
        <w:t xml:space="preserve">At Risk customers dominate numerically (2,736 customers, 63.1%), signalling that the majority of the database requires reactivation strategies.</w:t>
      </w:r>
    </w:p>
    <w:p>
      <w:pPr>
        <w:pStyle w:val="ListParagraph"/>
        <w:numPr>
          <w:ilvl w:val="0"/>
          <w:numId w:val="2"/>
        </w:numPr>
        <w:spacing w:after="100"/>
      </w:pPr>
      <w:r>
        <w:rPr>
          <w:sz w:val="22"/>
          <w:szCs w:val="22"/>
        </w:rPr>
        <w:t xml:space="preserve">Loyal Customers (597, 13.8%) are the second-largest group — high frequency buyers who have not yet achieved Best Customer status.</w:t>
      </w:r>
    </w:p>
    <w:p>
      <w:pPr>
        <w:pStyle w:val="ListParagraph"/>
        <w:numPr>
          <w:ilvl w:val="0"/>
          <w:numId w:val="2"/>
        </w:numPr>
        <w:spacing w:after="100"/>
      </w:pPr>
      <w:r>
        <w:rPr>
          <w:sz w:val="22"/>
          <w:szCs w:val="22"/>
        </w:rPr>
        <w:t xml:space="preserve">Recent Customers (518, 11.9%) have purchased recently but lack sufficient history for deeper loyalty classification.</w:t>
      </w:r>
    </w:p>
    <w:p>
      <w:pPr>
        <w:pStyle w:val="ListParagraph"/>
        <w:numPr>
          <w:ilvl w:val="0"/>
          <w:numId w:val="2"/>
        </w:numPr>
        <w:spacing w:after="100"/>
      </w:pPr>
      <w:r>
        <w:rPr>
          <w:sz w:val="22"/>
          <w:szCs w:val="22"/>
        </w:rPr>
        <w:t xml:space="preserve">Best Customers (488, 11.2%) are the smallest segment by headcount but the most commercially critical.</w:t>
      </w:r>
    </w:p>
    <w:p>
      <w:pPr>
        <w:spacing w:after="80"/>
      </w:pPr>
      <w:r>
        <w:t xml:space="preserve"/>
      </w:r>
    </w:p>
    <w:p>
      <w:pPr>
        <w:pStyle w:val="Heading2"/>
      </w:pPr>
      <w:r>
        <w:rPr>
          <w:b/>
          <w:bCs/>
          <w:color w:val="2E75B6"/>
          <w:sz w:val="24"/>
          <w:szCs w:val="24"/>
        </w:rPr>
        <w:t xml:space="preserve">2.2  Revenue by Customer Segment (Bar Chart)</w:t>
      </w:r>
    </w:p>
    <w:p>
      <w:pPr>
        <w:spacing w:after="120"/>
      </w:pPr>
      <w:r>
        <w:rPr>
          <w:sz w:val="22"/>
          <w:szCs w:val="22"/>
        </w:rPr>
        <w:t xml:space="preserve">The revenue bar chart inverts the population story entirely:</w:t>
      </w:r>
    </w:p>
    <w:p>
      <w:pPr>
        <w:pStyle w:val="ListParagraph"/>
        <w:numPr>
          <w:ilvl w:val="0"/>
          <w:numId w:val="2"/>
        </w:numPr>
        <w:spacing w:after="100"/>
      </w:pPr>
      <w:r>
        <w:rPr>
          <w:sz w:val="22"/>
          <w:szCs w:val="22"/>
        </w:rPr>
        <w:t xml:space="preserve">Best Customers generate £4.42M (49.7% of total revenue) despite being only 11% of customers.</w:t>
      </w:r>
    </w:p>
    <w:p>
      <w:pPr>
        <w:pStyle w:val="ListParagraph"/>
        <w:numPr>
          <w:ilvl w:val="0"/>
          <w:numId w:val="2"/>
        </w:numPr>
        <w:spacing w:after="100"/>
      </w:pPr>
      <w:r>
        <w:rPr>
          <w:sz w:val="22"/>
          <w:szCs w:val="22"/>
        </w:rPr>
        <w:t xml:space="preserve">At Risk customers, despite being 63% of the base, generate only £1.99M (22.4%) — confirming severely depressed per-customer value.</w:t>
      </w:r>
    </w:p>
    <w:p>
      <w:pPr>
        <w:pStyle w:val="ListParagraph"/>
        <w:numPr>
          <w:ilvl w:val="0"/>
          <w:numId w:val="2"/>
        </w:numPr>
        <w:spacing w:after="100"/>
      </w:pPr>
      <w:r>
        <w:rPr>
          <w:sz w:val="22"/>
          <w:szCs w:val="22"/>
        </w:rPr>
        <w:t xml:space="preserve">Loyal and Recent Customers contribute £1.82M and £660K respectively, indicating a clear revenue ladder that CRM investment can climb.</w:t>
      </w:r>
    </w:p>
    <w:p>
      <w:pPr>
        <w:spacing w:after="120"/>
      </w:pPr>
      <w:r>
        <w:rPr>
          <w:i/>
          <w:iCs/>
          <w:sz w:val="22"/>
          <w:szCs w:val="22"/>
        </w:rPr>
        <w:t xml:space="preserve">The divergence between population share and revenue share is the central explainability insight of this dashboard: it communicates to non-technical stakeholders exactly why differential marketing investment is justified.</w:t>
      </w:r>
    </w:p>
    <w:p>
      <w:pPr>
        <w:spacing w:after="80"/>
      </w:pPr>
      <w:r>
        <w:t xml:space="preserve"/>
      </w:r>
    </w:p>
    <w:p>
      <w:pPr>
        <w:pStyle w:val="Heading1"/>
      </w:pPr>
      <w:r>
        <w:rPr>
          <w:b/>
          <w:bCs/>
          <w:color w:val="1F4E79"/>
          <w:sz w:val="28"/>
          <w:szCs w:val="28"/>
        </w:rPr>
        <w:t xml:space="preserve">3. Machine Learning Cluster Visuals</w:t>
      </w:r>
    </w:p>
    <w:p>
      <w:pPr>
        <w:pStyle w:val="Heading2"/>
      </w:pPr>
      <w:r>
        <w:rPr>
          <w:b/>
          <w:bCs/>
          <w:color w:val="2E75B6"/>
          <w:sz w:val="24"/>
          <w:szCs w:val="24"/>
        </w:rPr>
        <w:t xml:space="preserve">3.1  Average Spending Behaviour per ML Cluster (Bar Chart)</w:t>
      </w:r>
    </w:p>
    <w:p>
      <w:pPr>
        <w:spacing w:after="120"/>
      </w:pPr>
      <w:r>
        <w:rPr>
          <w:sz w:val="22"/>
          <w:szCs w:val="22"/>
        </w:rPr>
        <w:t xml:space="preserve">The spending chart plots the sum of monetary value by K-Means cluster, cross-validating the RFM-based segments with the independently derived ML groups:</w:t>
      </w:r>
    </w:p>
    <w:p>
      <w:pPr>
        <w:pStyle w:val="ListParagraph"/>
        <w:numPr>
          <w:ilvl w:val="0"/>
          <w:numId w:val="2"/>
        </w:numPr>
        <w:spacing w:after="100"/>
      </w:pPr>
      <w:r>
        <w:rPr>
          <w:sz w:val="22"/>
          <w:szCs w:val="22"/>
        </w:rPr>
        <w:t xml:space="preserve">Cluster 3 (VIP / Best Customers) records average spending of approximately £4M — the dominant bar that makes the visual immediately readable.</w:t>
      </w:r>
    </w:p>
    <w:p>
      <w:pPr>
        <w:pStyle w:val="ListParagraph"/>
        <w:numPr>
          <w:ilvl w:val="0"/>
          <w:numId w:val="2"/>
        </w:numPr>
        <w:spacing w:after="100"/>
      </w:pPr>
      <w:r>
        <w:rPr>
          <w:sz w:val="22"/>
          <w:szCs w:val="22"/>
        </w:rPr>
        <w:t xml:space="preserve">Cluster 1 (Loyal / Moderate) shows intermediate spend around £1.4M, confirming its bridge position between VIP and occasional purchasers.</w:t>
      </w:r>
    </w:p>
    <w:p>
      <w:pPr>
        <w:pStyle w:val="ListParagraph"/>
        <w:numPr>
          <w:ilvl w:val="0"/>
          <w:numId w:val="2"/>
        </w:numPr>
        <w:spacing w:after="100"/>
      </w:pPr>
      <w:r>
        <w:rPr>
          <w:sz w:val="22"/>
          <w:szCs w:val="22"/>
        </w:rPr>
        <w:t xml:space="preserve">Clusters 0 and 2 show the lowest spending, corresponding to At Risk and Occasional customer profiles.</w:t>
      </w:r>
    </w:p>
    <w:p>
      <w:pPr>
        <w:spacing w:after="120"/>
      </w:pPr>
      <w:r>
        <w:rPr>
          <w:sz w:val="22"/>
          <w:szCs w:val="22"/>
        </w:rPr>
        <w:t xml:space="preserve">This visual serves an explainability function: it shows that the unsupervised algorithm independently arrived at groupings that match business intuition, validating both the model and the segment definitions.</w:t>
      </w:r>
    </w:p>
    <w:p>
      <w:pPr>
        <w:spacing w:after="80"/>
      </w:pPr>
      <w:r>
        <w:t xml:space="preserve"/>
      </w:r>
    </w:p>
    <w:p>
      <w:pPr>
        <w:pStyle w:val="Heading2"/>
      </w:pPr>
      <w:r>
        <w:rPr>
          <w:b/>
          <w:bCs/>
          <w:color w:val="2E75B6"/>
          <w:sz w:val="24"/>
          <w:szCs w:val="24"/>
        </w:rPr>
        <w:t xml:space="preserve">3.2  Average Frequency by Cluster (Line Chart)</w:t>
      </w:r>
    </w:p>
    <w:p>
      <w:pPr>
        <w:spacing w:after="120"/>
      </w:pPr>
      <w:r>
        <w:rPr>
          <w:sz w:val="22"/>
          <w:szCs w:val="22"/>
        </w:rPr>
        <w:t xml:space="preserve">The frequency line chart tracks purchase cadence across clusters (x-axis: cluster ID, y-axis: average number of invoices). The non-linear shape — a sharp peak at Cluster 2 with a valley between Clusters 1 and 2 — is diagnostically significant:</w:t>
      </w:r>
    </w:p>
    <w:p>
      <w:pPr>
        <w:pStyle w:val="ListParagraph"/>
        <w:numPr>
          <w:ilvl w:val="0"/>
          <w:numId w:val="2"/>
        </w:numPr>
        <w:spacing w:after="100"/>
      </w:pPr>
      <w:r>
        <w:rPr>
          <w:sz w:val="22"/>
          <w:szCs w:val="22"/>
        </w:rPr>
        <w:t xml:space="preserve">The spike at Cluster 2 (Best/VIP customers) confirms that high-value customers are defined primarily by repeat purchase behaviour, not just high transaction size.</w:t>
      </w:r>
    </w:p>
    <w:p>
      <w:pPr>
        <w:pStyle w:val="ListParagraph"/>
        <w:numPr>
          <w:ilvl w:val="0"/>
          <w:numId w:val="2"/>
        </w:numPr>
        <w:spacing w:after="100"/>
      </w:pPr>
      <w:r>
        <w:rPr>
          <w:sz w:val="22"/>
          <w:szCs w:val="22"/>
        </w:rPr>
        <w:t xml:space="preserve">Cluster 1’s low frequency despite moderate monetary value suggests a small number of large, infrequent orders — potentially wholesale or bulk-order customers.</w:t>
      </w:r>
    </w:p>
    <w:p>
      <w:pPr>
        <w:pStyle w:val="ListParagraph"/>
        <w:numPr>
          <w:ilvl w:val="0"/>
          <w:numId w:val="2"/>
        </w:numPr>
        <w:spacing w:after="100"/>
      </w:pPr>
      <w:r>
        <w:rPr>
          <w:sz w:val="22"/>
          <w:szCs w:val="22"/>
        </w:rPr>
        <w:t xml:space="preserve">The rising trend toward Cluster 3 indicates that the newest, lower-value clusters are characterised by recent single purchases — a classic profile for new customer acquisition.</w:t>
      </w:r>
    </w:p>
    <w:p>
      <w:pPr>
        <w:spacing w:after="80"/>
      </w:pPr>
      <w:r>
        <w:t xml:space="preserve"/>
      </w:r>
    </w:p>
    <w:p>
      <w:pPr>
        <w:pStyle w:val="Heading1"/>
      </w:pPr>
      <w:r>
        <w:rPr>
          <w:b/>
          <w:bCs/>
          <w:color w:val="1F4E79"/>
          <w:sz w:val="28"/>
          <w:szCs w:val="28"/>
        </w:rPr>
        <w:t xml:space="preserve">4. Business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26"/>
        <w:gridCol w:w="24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Segment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Priority Action</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Channel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Expected Outcome</w:t>
            </w:r>
          </w:p>
        </w:tc>
      </w:tr>
      <w:tr>
        <w:tc>
          <w:tcPr>
            <w:tcW w:type="dxa" w:w="2000"/>
            <w:tcBorders>
              <w:top w:val="single" w:color="CCCCCC" w:sz="1"/>
              <w:left w:val="single" w:color="CCCCCC" w:sz="1"/>
              <w:bottom w:val="single" w:color="CCCCCC" w:sz="1"/>
              <w:right w:val="single" w:color="CCCCCC" w:sz="1"/>
            </w:tcBorders>
            <w:shd w:fill="D5F0E8" w:val="clear"/>
            <w:tcMar>
              <w:top w:type="dxa" w:w="80"/>
              <w:left w:type="dxa" w:w="120"/>
              <w:bottom w:type="dxa" w:w="80"/>
              <w:right w:type="dxa" w:w="120"/>
            </w:tcMar>
          </w:tcPr>
          <w:p>
            <w:r>
              <w:rPr>
                <w:sz w:val="20"/>
                <w:szCs w:val="20"/>
              </w:rPr>
              <w:t xml:space="preserve">Best Customers</w:t>
            </w:r>
          </w:p>
        </w:tc>
        <w:tc>
          <w:tcPr>
            <w:tcW w:type="dxa" w:w="2200"/>
            <w:tcBorders>
              <w:top w:val="single" w:color="CCCCCC" w:sz="1"/>
              <w:left w:val="single" w:color="CCCCCC" w:sz="1"/>
              <w:bottom w:val="single" w:color="CCCCCC" w:sz="1"/>
              <w:right w:val="single" w:color="CCCCCC" w:sz="1"/>
            </w:tcBorders>
            <w:shd w:fill="D5F0E8" w:val="clear"/>
            <w:tcMar>
              <w:top w:type="dxa" w:w="80"/>
              <w:left w:type="dxa" w:w="120"/>
              <w:bottom w:type="dxa" w:w="80"/>
              <w:right w:type="dxa" w:w="120"/>
            </w:tcMar>
          </w:tcPr>
          <w:p>
            <w:r>
              <w:rPr>
                <w:sz w:val="20"/>
                <w:szCs w:val="20"/>
              </w:rPr>
              <w:t xml:space="preserve">VIP loyalty programme, exclusive early access</w:t>
            </w:r>
          </w:p>
        </w:tc>
        <w:tc>
          <w:tcPr>
            <w:tcW w:type="dxa" w:w="2426"/>
            <w:tcBorders>
              <w:top w:val="single" w:color="CCCCCC" w:sz="1"/>
              <w:left w:val="single" w:color="CCCCCC" w:sz="1"/>
              <w:bottom w:val="single" w:color="CCCCCC" w:sz="1"/>
              <w:right w:val="single" w:color="CCCCCC" w:sz="1"/>
            </w:tcBorders>
            <w:shd w:fill="D5F0E8" w:val="clear"/>
            <w:tcMar>
              <w:top w:type="dxa" w:w="80"/>
              <w:left w:type="dxa" w:w="120"/>
              <w:bottom w:type="dxa" w:w="80"/>
              <w:right w:type="dxa" w:w="120"/>
            </w:tcMar>
          </w:tcPr>
          <w:p>
            <w:r>
              <w:rPr>
                <w:sz w:val="20"/>
                <w:szCs w:val="20"/>
              </w:rPr>
              <w:t xml:space="preserve">Personal outreach, dedicated account manager</w:t>
            </w:r>
          </w:p>
        </w:tc>
        <w:tc>
          <w:tcPr>
            <w:tcW w:type="dxa" w:w="2400"/>
            <w:tcBorders>
              <w:top w:val="single" w:color="CCCCCC" w:sz="1"/>
              <w:left w:val="single" w:color="CCCCCC" w:sz="1"/>
              <w:bottom w:val="single" w:color="CCCCCC" w:sz="1"/>
              <w:right w:val="single" w:color="CCCCCC" w:sz="1"/>
            </w:tcBorders>
            <w:shd w:fill="D5F0E8" w:val="clear"/>
            <w:tcMar>
              <w:top w:type="dxa" w:w="80"/>
              <w:left w:type="dxa" w:w="120"/>
              <w:bottom w:type="dxa" w:w="80"/>
              <w:right w:type="dxa" w:w="120"/>
            </w:tcMar>
          </w:tcPr>
          <w:p>
            <w:r>
              <w:rPr>
                <w:sz w:val="20"/>
                <w:szCs w:val="20"/>
              </w:rPr>
              <w:t xml:space="preserve">Reduce churn risk; increase avg order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Loyal 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Frequency incentives (bonus points, milestone rewards)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 in-app push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Convert to Best Customers</w:t>
            </w:r>
          </w:p>
        </w:tc>
      </w:tr>
      <w:tr>
        <w:tc>
          <w:tcPr>
            <w:tcW w:type="dxa" w:w="2000"/>
            <w:tcBorders>
              <w:top w:val="single" w:color="CCCCCC" w:sz="1"/>
              <w:left w:val="single" w:color="CCCCCC" w:sz="1"/>
              <w:bottom w:val="single" w:color="CCCCCC" w:sz="1"/>
              <w:right w:val="single" w:color="CCCCCC" w:sz="1"/>
            </w:tcBorders>
            <w:shd w:fill="D5F0E8" w:val="clear"/>
            <w:tcMar>
              <w:top w:type="dxa" w:w="80"/>
              <w:left w:type="dxa" w:w="120"/>
              <w:bottom w:type="dxa" w:w="80"/>
              <w:right w:type="dxa" w:w="120"/>
            </w:tcMar>
          </w:tcPr>
          <w:p>
            <w:r>
              <w:rPr>
                <w:sz w:val="20"/>
                <w:szCs w:val="20"/>
              </w:rPr>
              <w:t xml:space="preserve">Recent Customers</w:t>
            </w:r>
          </w:p>
        </w:tc>
        <w:tc>
          <w:tcPr>
            <w:tcW w:type="dxa" w:w="2200"/>
            <w:tcBorders>
              <w:top w:val="single" w:color="CCCCCC" w:sz="1"/>
              <w:left w:val="single" w:color="CCCCCC" w:sz="1"/>
              <w:bottom w:val="single" w:color="CCCCCC" w:sz="1"/>
              <w:right w:val="single" w:color="CCCCCC" w:sz="1"/>
            </w:tcBorders>
            <w:shd w:fill="D5F0E8" w:val="clear"/>
            <w:tcMar>
              <w:top w:type="dxa" w:w="80"/>
              <w:left w:type="dxa" w:w="120"/>
              <w:bottom w:type="dxa" w:w="80"/>
              <w:right w:type="dxa" w:w="120"/>
            </w:tcMar>
          </w:tcPr>
          <w:p>
            <w:r>
              <w:rPr>
                <w:sz w:val="20"/>
                <w:szCs w:val="20"/>
              </w:rPr>
              <w:t xml:space="preserve">Onboarding nurture sequence</w:t>
            </w:r>
          </w:p>
        </w:tc>
        <w:tc>
          <w:tcPr>
            <w:tcW w:type="dxa" w:w="2426"/>
            <w:tcBorders>
              <w:top w:val="single" w:color="CCCCCC" w:sz="1"/>
              <w:left w:val="single" w:color="CCCCCC" w:sz="1"/>
              <w:bottom w:val="single" w:color="CCCCCC" w:sz="1"/>
              <w:right w:val="single" w:color="CCCCCC" w:sz="1"/>
            </w:tcBorders>
            <w:shd w:fill="D5F0E8" w:val="clear"/>
            <w:tcMar>
              <w:top w:type="dxa" w:w="80"/>
              <w:left w:type="dxa" w:w="120"/>
              <w:bottom w:type="dxa" w:w="80"/>
              <w:right w:type="dxa" w:w="120"/>
            </w:tcMar>
          </w:tcPr>
          <w:p>
            <w:r>
              <w:rPr>
                <w:sz w:val="20"/>
                <w:szCs w:val="20"/>
              </w:rPr>
              <w:t xml:space="preserve">Email series, retargeting</w:t>
            </w:r>
          </w:p>
        </w:tc>
        <w:tc>
          <w:tcPr>
            <w:tcW w:type="dxa" w:w="2400"/>
            <w:tcBorders>
              <w:top w:val="single" w:color="CCCCCC" w:sz="1"/>
              <w:left w:val="single" w:color="CCCCCC" w:sz="1"/>
              <w:bottom w:val="single" w:color="CCCCCC" w:sz="1"/>
              <w:right w:val="single" w:color="CCCCCC" w:sz="1"/>
            </w:tcBorders>
            <w:shd w:fill="D5F0E8" w:val="clear"/>
            <w:tcMar>
              <w:top w:type="dxa" w:w="80"/>
              <w:left w:type="dxa" w:w="120"/>
              <w:bottom w:type="dxa" w:w="80"/>
              <w:right w:type="dxa" w:w="120"/>
            </w:tcMar>
          </w:tcPr>
          <w:p>
            <w:r>
              <w:rPr>
                <w:sz w:val="20"/>
                <w:szCs w:val="20"/>
              </w:rPr>
              <w:t xml:space="preserve">Drive second and third purchase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Win-back campaign with time-limited offer</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 + SMS reactivation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Recover 15–20% to active status</w:t>
            </w:r>
          </w:p>
        </w:tc>
      </w:tr>
    </w:tbl>
    <w:p>
      <w:pPr>
        <w:spacing w:after="80"/>
      </w:pPr>
      <w:r>
        <w:t xml:space="preserve"/>
      </w:r>
    </w:p>
    <w:p>
      <w:pPr>
        <w:pStyle w:val="Heading1"/>
      </w:pPr>
      <w:r>
        <w:rPr>
          <w:b/>
          <w:bCs/>
          <w:color w:val="1F4E79"/>
          <w:sz w:val="28"/>
          <w:szCs w:val="28"/>
        </w:rPr>
        <w:t xml:space="preserve">5. How Explainable AI Improves Decision-Making</w:t>
      </w:r>
    </w:p>
    <w:p>
      <w:pPr>
        <w:spacing w:after="120"/>
      </w:pPr>
      <w:r>
        <w:rPr>
          <w:sz w:val="22"/>
          <w:szCs w:val="22"/>
        </w:rPr>
        <w:t xml:space="preserve">A core design principle of this system is that machine learning outputs must be interpretable by business users, not just data scientists. The following XAI mechanisms are embedded across the pipeline:</w:t>
      </w:r>
    </w:p>
    <w:p>
      <w:pPr>
        <w:spacing w:after="80"/>
      </w:pPr>
      <w:r>
        <w:t xml:space="preserve"/>
      </w:r>
    </w:p>
    <w:p>
      <w:pPr>
        <w:pStyle w:val="Heading2"/>
      </w:pPr>
      <w:r>
        <w:rPr>
          <w:b/>
          <w:bCs/>
          <w:color w:val="2E75B6"/>
          <w:sz w:val="24"/>
          <w:szCs w:val="24"/>
        </w:rPr>
        <w:t xml:space="preserve">5.1  Transparent Segment Labels</w:t>
      </w:r>
    </w:p>
    <w:p>
      <w:pPr>
        <w:spacing w:after="120"/>
      </w:pPr>
      <w:r>
        <w:rPr>
          <w:sz w:val="22"/>
          <w:szCs w:val="22"/>
        </w:rPr>
        <w:t xml:space="preserve">Rather than presenting cluster IDs (0, 1, 2, 3), every K-Means assignment is translated into a human-readable label derived from centroid inspection. A manager viewing the dashboard sees “VIP Customers” not “Cluster 2.” This is the simplest and most impactful XAI intervention: the model’s output speaks business language.</w:t>
      </w:r>
    </w:p>
    <w:p>
      <w:pPr>
        <w:spacing w:after="80"/>
      </w:pPr>
      <w:r>
        <w:t xml:space="preserve"/>
      </w:r>
    </w:p>
    <w:p>
      <w:pPr>
        <w:pStyle w:val="Heading2"/>
      </w:pPr>
      <w:r>
        <w:rPr>
          <w:b/>
          <w:bCs/>
          <w:color w:val="2E75B6"/>
          <w:sz w:val="24"/>
          <w:szCs w:val="24"/>
        </w:rPr>
        <w:t xml:space="preserve">5.2  Dual-Method Cross-Validation</w:t>
      </w:r>
    </w:p>
    <w:p>
      <w:pPr>
        <w:spacing w:after="120"/>
      </w:pPr>
      <w:r>
        <w:rPr>
          <w:sz w:val="22"/>
          <w:szCs w:val="22"/>
        </w:rPr>
        <w:t xml:space="preserve">Running both rule-based RFM segmentation and unsupervised K-Means independently, then comparing their outputs, provides a natural interpretability check. Agreement between methods increases confidence in a segment assignment; disagreement flags borderline customers who may warrant manual review or targeted monitoring.</w:t>
      </w:r>
    </w:p>
    <w:p>
      <w:pPr>
        <w:spacing w:after="80"/>
      </w:pPr>
      <w:r>
        <w:t xml:space="preserve"/>
      </w:r>
    </w:p>
    <w:p>
      <w:pPr>
        <w:pStyle w:val="Heading2"/>
      </w:pPr>
      <w:r>
        <w:rPr>
          <w:b/>
          <w:bCs/>
          <w:color w:val="2E75B6"/>
          <w:sz w:val="24"/>
          <w:szCs w:val="24"/>
        </w:rPr>
        <w:t xml:space="preserve">5.3  Interactive Dashboard Drill-Down</w:t>
      </w:r>
    </w:p>
    <w:p>
      <w:pPr>
        <w:spacing w:after="120"/>
      </w:pPr>
      <w:r>
        <w:rPr>
          <w:sz w:val="22"/>
          <w:szCs w:val="22"/>
        </w:rPr>
        <w:t xml:space="preserve">The Power BI slicer enables any stakeholder to isolate a segment and inspect its complete KPI profile. This “explanation on demand” model empowers business users to build their own understanding of the data, rather than accepting a black-box recommendation. Transparency at the visualisation layer is a form of explainability.</w:t>
      </w:r>
    </w:p>
    <w:p>
      <w:pPr>
        <w:spacing w:after="80"/>
      </w:pPr>
      <w:r>
        <w:t xml:space="preserve"/>
      </w:r>
    </w:p>
    <w:p>
      <w:pPr>
        <w:pStyle w:val="Heading2"/>
      </w:pPr>
      <w:r>
        <w:rPr>
          <w:b/>
          <w:bCs/>
          <w:color w:val="2E75B6"/>
          <w:sz w:val="24"/>
          <w:szCs w:val="24"/>
        </w:rPr>
        <w:t xml:space="preserve">5.4  Planned SHAP Integration</w:t>
      </w:r>
    </w:p>
    <w:p>
      <w:pPr>
        <w:spacing w:after="120"/>
      </w:pPr>
      <w:r>
        <w:rPr>
          <w:sz w:val="22"/>
          <w:szCs w:val="22"/>
        </w:rPr>
        <w:t xml:space="preserve">The next development phase will apply SHAP (SHapley Additive exPlanations) to produce per-customer feature contribution scores. For each segment assignment, SHAP will quantify how much Recency, Frequency, and Monetary value individually contributed to that customer’s cluster membership. This will enable the system to generate natural-language explanations such as: “This customer is classified At Risk primarily because their last purchase was 312 days ago (high Recency), despite moderate Frequency and Monetary scores.”</w:t>
      </w:r>
    </w:p>
    <w:p>
      <w:pPr>
        <w:spacing w:after="80"/>
      </w:pPr>
      <w:r>
        <w:t xml:space="preserve"/>
      </w:r>
    </w:p>
    <w:p>
      <w:pPr>
        <w:pBdr>
          <w:bottom w:val="single" w:color="F2C811" w:sz="6" w:space="1"/>
        </w:pBdr>
        <w:spacing w:after="160"/>
      </w:pPr>
      <w:r>
        <w:t xml:space="preserve"/>
      </w:r>
    </w:p>
    <w:p>
      <w:pPr>
        <w:spacing w:after="60"/>
        <w:jc w:val="center"/>
      </w:pPr>
      <w:r>
        <w:rPr>
          <w:i/>
          <w:iCs/>
          <w:color w:val="595959"/>
          <w:sz w:val="18"/>
          <w:szCs w:val="18"/>
        </w:rPr>
        <w:t xml:space="preserve">Dashboard built in Power BI Desktop  |  Data: UCI Online Retail Dataset  |  Model: K-Means (k=4), scikit-learn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C811" w:sz="4" w:space="1"/>
      </w:pBdr>
      <w:spacing w:after="120"/>
      <w:jc w:val="right"/>
    </w:pPr>
    <w:r>
      <w:rPr>
        <w:i/>
        <w:iCs/>
        <w:color w:val="595959"/>
        <w:sz w:val="18"/>
        <w:szCs w:val="18"/>
      </w:rPr>
      <w:t xml:space="preserve">Power BI Dashboard Summary  |  Customer Decision Intelligence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00"/>
      <w:outlineLvl w:val="0"/>
    </w:pPr>
    <w:rPr>
      <w:rFonts w:ascii="Calibri" w:cs="Calibri" w:eastAsia="Calibri" w:hAnsi="Calibri"/>
      <w:b/>
      <w:bCs/>
      <w:color w:val="1F4E79"/>
      <w:sz w:val="28"/>
      <w:szCs w:val="28"/>
    </w:rPr>
  </w:style>
  <w:style w:type="paragraph" w:styleId="Heading2">
    <w:name w:val="Heading 2"/>
    <w:basedOn w:val="Normal"/>
    <w:next w:val="Normal"/>
    <w:pPr>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2026-05-12T10:20:06.051Z</dcterms:created>
  <dcterms:modified xsi:type="dcterms:W3CDTF">2026-05-12T10:20:06.051Z</dcterms:modified>
</cp:coreProperties>
</file>

<file path=docProps/custom.xml><?xml version="1.0" encoding="utf-8"?>
<Properties xmlns="http://schemas.openxmlformats.org/officeDocument/2006/custom-properties" xmlns:vt="http://schemas.openxmlformats.org/officeDocument/2006/docPropsVTypes"/>
</file>