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Reconocimiento de señas aisladas de la lengua de señas colombiana mediante aprendizaje profundo</w:t>
      </w:r>
    </w:p>
    <w:p w:rsidR="00000000" w:rsidDel="00000000" w:rsidP="00000000" w:rsidRDefault="00000000" w:rsidRPr="00000000" w14:paraId="00000002">
      <w:pPr>
        <w:spacing w:after="40" w:lineRule="auto"/>
        <w:rPr/>
      </w:pPr>
      <w:r w:rsidDel="00000000" w:rsidR="00000000" w:rsidRPr="00000000">
        <w:rPr>
          <w:sz w:val="20"/>
          <w:szCs w:val="20"/>
          <w:rtl w:val="0"/>
        </w:rPr>
        <w:t xml:space="preserve">Juan Esteban Álvarez García · 202212030</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sz w:val="20"/>
          <w:szCs w:val="20"/>
          <w:rtl w:val="0"/>
        </w:rPr>
        <w:t xml:space="preserve">Daniel Alejandro Acosta Avila · 202011236</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sz w:val="20"/>
          <w:szCs w:val="20"/>
          <w:rtl w:val="0"/>
        </w:rPr>
        <w:t xml:space="preserve">Daniel Felipe Ortiz Vallejo · 202221234</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sz w:val="20"/>
          <w:szCs w:val="20"/>
          <w:rtl w:val="0"/>
        </w:rPr>
        <w:t xml:space="preserve">Universidad de los Andes · Proyecto de Aprendizaje Profundo · Fase 1</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Introducción</w:t>
      </w:r>
    </w:p>
    <w:p w:rsidR="00000000" w:rsidDel="00000000" w:rsidP="00000000" w:rsidRDefault="00000000" w:rsidRPr="00000000" w14:paraId="00000007">
      <w:pPr>
        <w:rPr/>
      </w:pPr>
      <w:r w:rsidDel="00000000" w:rsidR="00000000" w:rsidRPr="00000000">
        <w:rPr>
          <w:rtl w:val="0"/>
        </w:rPr>
        <w:t xml:space="preserve">La lengua de señas colombiana (LSC) tiene vocabulario y gramática propios. Las personas sordas presentan distintos perfiles comunicativos; por ello, discapacidad auditiva y uso de LSC no son equivalentes. El INSOR sitúa las barreras de comunicación en los entornos que no ofrecen formatos accesibles [1]. Este proyecto aborda una parte acotada de ese problema: el reconocimiento visual de señas aisladas y su asociación con etiquetas escritas en español.</w:t>
      </w:r>
    </w:p>
    <w:p w:rsidR="00000000" w:rsidDel="00000000" w:rsidP="00000000" w:rsidRDefault="00000000" w:rsidRPr="00000000" w14:paraId="00000008">
      <w:pPr>
        <w:rPr/>
      </w:pPr>
      <w:r w:rsidDel="00000000" w:rsidR="00000000" w:rsidRPr="00000000">
        <w:rPr>
          <w:rtl w:val="0"/>
        </w:rPr>
        <w:t xml:space="preserve">El aprendizaje profundo permite modelar tanto la configuración de las manos como su evolución temporal. En LSC, Muñoz-Galindez y Vargas-Cañas compararon modelos estáticos y dinámicos y reportaron mejores resultados para el enfoque temporal [2]. Sin embargo, una buena clasificación en un corpus no demuestra que una aplicación funcione con nuevos usuarios y cámaras. Proponemos estudiar esa diferencia mediante una evaluación por señante y una prueba externa con webcam.</w:t>
      </w:r>
    </w:p>
    <w:p w:rsidR="00000000" w:rsidDel="00000000" w:rsidP="00000000" w:rsidRDefault="00000000" w:rsidRPr="00000000" w14:paraId="00000009">
      <w:pPr>
        <w:pStyle w:val="Heading1"/>
        <w:rPr/>
      </w:pPr>
      <w:r w:rsidDel="00000000" w:rsidR="00000000" w:rsidRPr="00000000">
        <w:rPr>
          <w:rtl w:val="0"/>
        </w:rPr>
        <w:t xml:space="preserve">2 Problema y objetivos</w:t>
      </w:r>
    </w:p>
    <w:p w:rsidR="00000000" w:rsidDel="00000000" w:rsidP="00000000" w:rsidRDefault="00000000" w:rsidRPr="00000000" w14:paraId="0000000A">
      <w:pPr>
        <w:rPr/>
      </w:pPr>
      <w:r w:rsidDel="00000000" w:rsidR="00000000" w:rsidRPr="00000000">
        <w:rPr>
          <w:rtl w:val="0"/>
        </w:rPr>
        <w:t xml:space="preserve">El escenario propuesto es un módulo experimental de saludo y presentación en un punto de orientación universitario. Una persona usuaria de LSC realiza una seña y una persona oyente consulta la etiqueta sugerida. La hipótesis de valor es facilitar ese intercambio con un equipo común. La reducción de espera y el ahorro económico requerirían un estudio institucional posterior.</w:t>
      </w:r>
    </w:p>
    <w:p w:rsidR="00000000" w:rsidDel="00000000" w:rsidP="00000000" w:rsidRDefault="00000000" w:rsidRPr="00000000" w14:paraId="0000000B">
      <w:pPr>
        <w:rPr/>
      </w:pPr>
      <w:r w:rsidDel="00000000" w:rsidR="00000000" w:rsidRPr="00000000">
        <w:rPr>
          <w:rtl w:val="0"/>
        </w:rPr>
        <w:t xml:space="preserve">El problema técnico es reconocer un vocabulario cerrado con pocos ejemplos, variación de ejecución y fallos de detección. Investigaremos si un modelo temporal sobre puntos corporales alcanza un desempeño útil con señantes no vistos y una respuesta ágil en una aplicación local.</w:t>
      </w:r>
    </w:p>
    <w:p w:rsidR="00000000" w:rsidDel="00000000" w:rsidP="00000000" w:rsidRDefault="00000000" w:rsidRPr="00000000" w14:paraId="0000000C">
      <w:pPr>
        <w:rPr/>
      </w:pPr>
      <w:r w:rsidDel="00000000" w:rsidR="00000000" w:rsidRPr="00000000">
        <w:rPr>
          <w:rtl w:val="0"/>
        </w:rPr>
        <w:t xml:space="preserve">El alcance comprende las diez clases de palabras de LSC70W: Hola, Buenos, Días, Tardes, Noches, Yo, Nombre, Años, Gustar y Licor [2], [3]. El vocabulario completo se conserva para evaluación técnica; no cubre trámites universitarios. El sistema procesa una persona y una seña por captura guiada. Produce una glosa, es decir, una etiqueta de la seña; la traducción de oraciones, el reconocimiento continuo y la interpretación profesional quedan fuera del alcance.</w:t>
      </w:r>
    </w:p>
    <w:p w:rsidR="00000000" w:rsidDel="00000000" w:rsidP="00000000" w:rsidRDefault="00000000" w:rsidRPr="00000000" w14:paraId="0000000D">
      <w:pPr>
        <w:rPr/>
      </w:pPr>
      <w:r w:rsidDel="00000000" w:rsidR="00000000" w:rsidRPr="00000000">
        <w:rPr>
          <w:b w:val="1"/>
          <w:bCs w:val="1"/>
          <w:rtl w:val="0"/>
        </w:rPr>
        <w:t xml:space="preserve">Objetivo general.</w:t>
      </w:r>
      <w:r w:rsidDel="00000000" w:rsidR="00000000" w:rsidRPr="00000000">
        <w:rPr>
          <w:rtl w:val="0"/>
        </w:rPr>
        <w:t xml:space="preserve"> Desarrollar un prototipo de reconocimiento de diez señas aisladas de LSC, con exactitud de al menos 85 % y F1 macro de al menos 0,80 en prueba por señantes no vistos, y latencia de respuesta p95 inferior a dos segundos en el equipo de demostración.</w:t>
      </w:r>
    </w:p>
    <w:p w:rsidR="00000000" w:rsidDel="00000000" w:rsidP="00000000" w:rsidRDefault="00000000" w:rsidRPr="00000000" w14:paraId="0000000E">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Estructurar LSC70W en secuencias trazables de seis imágenes, con manifiesto completo y cero intersecciones de señantes entre entrenamiento, validación y prueba.</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Comparar una BiLSTM y un Transformer compacto, con y sin aumento de datos, mediante cuatro configuraciones y tres semillas por configuración.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una aplicación de captura guiada, con estados visibles de aceptación, repetición y error, y al menos 95 % de intentos válidos sin fallos técnicos en el piloto.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6.99999999999994"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la utilidad del flujo mediante un piloto de cinco participantes, con una meta de al menos cuatro participantes que completen captura, consulta y corrección sin asistencia, y revisión del vocabulario por una persona competente en LSC.</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3 Estado del arte</w:t>
      </w:r>
    </w:p>
    <w:p w:rsidR="00000000" w:rsidDel="00000000" w:rsidP="00000000" w:rsidRDefault="00000000" w:rsidRPr="00000000" w14:paraId="00000015">
      <w:pPr>
        <w:rPr/>
      </w:pPr>
      <w:r w:rsidDel="00000000" w:rsidR="00000000" w:rsidRPr="00000000">
        <w:rPr>
          <w:rtl w:val="0"/>
        </w:rPr>
        <w:t xml:space="preserve">Muñoz-Galindez y Vargas-Cañas [2] desarrollaron un reconocedor de palabras de LSC con redes convolucionales y LSTM. Obtuvieron 67 % y 76 % de exactitud en los enfoques estático y dinámico, respectivamente. El trabajo respalda la utilidad del movimiento y ofrece un referente local; sus cifras no constituyen una comparación directa con nuestro protocolo, porque las particiones y representaciones deben coincidir para que esa comparación sea válida.</w:t>
      </w:r>
    </w:p>
    <w:p w:rsidR="00000000" w:rsidDel="00000000" w:rsidP="00000000" w:rsidRDefault="00000000" w:rsidRPr="00000000" w14:paraId="00000016">
      <w:pPr>
        <w:rPr/>
      </w:pPr>
      <w:r w:rsidDel="00000000" w:rsidR="00000000" w:rsidRPr="00000000">
        <w:rPr>
          <w:rtl w:val="0"/>
        </w:rPr>
        <w:t xml:space="preserve">Muñoz Galindez, Villota Coral y Vargas Cañas [3] documentaron LSC70, un recurso organizado por participante y seña. Su disponibilidad permite estudiar generalización sin exigir la recolección inicial de un corpus completo. La participación de voluntarios no expertos y el muestreo temporal reducido limitan la representatividad lingüística y la integridad de algunos movimientos. Estas restricciones justifican una auditoría del corpus y una evaluación externa diferenciada.</w:t>
      </w:r>
    </w:p>
    <w:p w:rsidR="00000000" w:rsidDel="00000000" w:rsidP="00000000" w:rsidRDefault="00000000" w:rsidRPr="00000000" w14:paraId="00000017">
      <w:pPr>
        <w:rPr/>
      </w:pPr>
      <w:r w:rsidDel="00000000" w:rsidR="00000000" w:rsidRPr="00000000">
        <w:rPr>
          <w:rtl w:val="0"/>
        </w:rPr>
        <w:t xml:space="preserve">Yánez y Aguilera [4] estudiaron reconocimiento aislado de lengua de señas chilena mediante pose y Transformers. Reportaron exactitudes de 0,75 en LSCh y 0,94 en LSA64 para su mejor configuración de aumento. Su aporte es la evaluación de representaciones ligeras y variaciones de ejecución. Trasladar esas transformaciones a LSC exige comprobar que preservan el significado; en particular, el reflejo horizontal no se asumirá válido para todas las señas.</w:t>
      </w:r>
    </w:p>
    <w:p w:rsidR="00000000" w:rsidDel="00000000" w:rsidP="00000000" w:rsidRDefault="00000000" w:rsidRPr="00000000" w14:paraId="00000018">
      <w:pPr>
        <w:rPr/>
      </w:pPr>
      <w:r w:rsidDel="00000000" w:rsidR="00000000" w:rsidRPr="00000000">
        <w:rPr>
          <w:rtl w:val="0"/>
        </w:rPr>
        <w:t xml:space="preserve">Camgoz et al. [5] propusieron Transformers para reconocimiento continuo y traducción conjunta, con una pérdida de clasificación temporal conexionista (CTC) que conecta ambas tareas. Ese problema es más amplio que la clasificación aislada del presente proyecto. El trabajo motiva la comparación con atención temporal, pero no demuestra que un Transformer supere a una red recurrente en un conjunto pequeño de seis observaciones por muestra.</w:t>
      </w:r>
    </w:p>
    <w:p w:rsidR="00000000" w:rsidDel="00000000" w:rsidP="00000000" w:rsidRDefault="00000000" w:rsidRPr="00000000" w14:paraId="00000019">
      <w:pPr>
        <w:rPr/>
      </w:pPr>
      <w:r w:rsidDel="00000000" w:rsidR="00000000" w:rsidRPr="00000000">
        <w:rPr>
          <w:rtl w:val="0"/>
        </w:rPr>
        <w:t xml:space="preserve">Lugaresi et al. [6] presentaron MediaPipe como plataforma para construir y medir sistemas de percepción. Su reutilización facilita obtener características corporales con modelos previamente entrenados. El clasificador de LSC seguirá requiriendo aprendizaje supervisado propio, y los errores del extractor deben contabilizarse en el resultado del sistema completo.</w:t>
      </w:r>
    </w:p>
    <w:p w:rsidR="00000000" w:rsidDel="00000000" w:rsidP="00000000" w:rsidRDefault="00000000" w:rsidRPr="00000000" w14:paraId="0000001A">
      <w:pPr>
        <w:rPr/>
      </w:pPr>
      <w:r w:rsidDel="00000000" w:rsidR="00000000" w:rsidRPr="00000000">
        <w:rPr>
          <w:b w:val="1"/>
          <w:bCs w:val="1"/>
          <w:rtl w:val="0"/>
        </w:rPr>
        <w:t xml:space="preserve">Síntesis crítica.</w:t>
      </w:r>
      <w:r w:rsidDel="00000000" w:rsidR="00000000" w:rsidRPr="00000000">
        <w:rPr>
          <w:rtl w:val="0"/>
        </w:rPr>
        <w:t xml:space="preserve"> Los antecedentes apoyan el modelado temporal y el uso de pose, pero no resuelven automáticamente la transferencia a una webcam ni la variabilidad de usuarios de LSC. La contribución propuesta es una comparación reproducible sobre datos colombianos, con separación por persona, análisis de fallos de extracción y medición de la aplicación completa. La novedad se sitúa en el protocolo y la integración evaluada, sin atribuirse una arquitectura inédita.</w:t>
      </w:r>
    </w:p>
    <w:p w:rsidR="00000000" w:rsidDel="00000000" w:rsidP="00000000" w:rsidRDefault="00000000" w:rsidRPr="00000000" w14:paraId="0000001B">
      <w:pPr>
        <w:pStyle w:val="Heading1"/>
        <w:rPr/>
      </w:pPr>
      <w:r w:rsidDel="00000000" w:rsidR="00000000" w:rsidRPr="00000000">
        <w:rPr>
          <w:rtl w:val="0"/>
        </w:rPr>
        <w:t xml:space="preserve">4 Propuesta de solución y metodología</w:t>
      </w:r>
    </w:p>
    <w:p w:rsidR="00000000" w:rsidDel="00000000" w:rsidP="00000000" w:rsidRDefault="00000000" w:rsidRPr="00000000" w14:paraId="0000001C">
      <w:pPr>
        <w:rPr/>
      </w:pPr>
      <w:r w:rsidDel="00000000" w:rsidR="00000000" w:rsidRPr="00000000">
        <w:rPr>
          <w:rtl w:val="0"/>
        </w:rPr>
        <w:t xml:space="preserve">Se adaptará CRISP-DM, proceso estándar para proyectos de minería de datos, utilizado en [2]: comprensión del uso, comprensión de datos, preparación, modelado, evaluación y despliegue. En la primera iteración se verificará el acceso al corpus, el vocabulario y la factibilidad de extraer manos; esta revisión precederá a experimentos extensos.</w:t>
      </w:r>
    </w:p>
    <w:p w:rsidR="00000000" w:rsidDel="00000000" w:rsidP="00000000" w:rsidRDefault="00000000" w:rsidRPr="00000000" w14:paraId="0000001D">
      <w:pPr>
        <w:rPr/>
      </w:pPr>
      <w:r w:rsidDel="00000000" w:rsidR="00000000" w:rsidRPr="00000000">
        <w:rPr>
          <w:rtl w:val="0"/>
        </w:rPr>
        <w:t xml:space="preserve">Cada muestra conservará sus seis imágenes ordenadas. MediaPipe aportará siete puntos de pose superior y 21 por mano. Se utilizarán coordenadas bidimensionales centradas y escaladas por los hombros, junto con indicadores de presencia: 49 puntos y 147 valores por instante. Las ausencias se codificarán con ceros y máscara explícita; no se inventarán cuadros ni movimiento. Una única implementación de preprocesamiento servirá al entrenamiento y a la aplicación.</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4 Propuesta de solución y metodología continuada</w:t>
      </w:r>
    </w:p>
    <w:p w:rsidR="00000000" w:rsidDel="00000000" w:rsidP="00000000" w:rsidRDefault="00000000" w:rsidRPr="00000000" w14:paraId="00000020">
      <w:pPr>
        <w:rPr/>
      </w:pPr>
      <w:r w:rsidDel="00000000" w:rsidR="00000000" w:rsidRPr="00000000">
        <w:rPr>
          <w:rtl w:val="0"/>
        </w:rPr>
        <w:t xml:space="preserve">La red bidireccional de memoria de corto y largo plazo (BiLSTM) tendrá 64 unidades por dirección, regularización dropout y salida de diez clases. El Transformer tendrá dos bloques, dimensión 64, cuatro cabezas y codificación de posición. Ambos emplearán entropía cruzada, Adam y parada temprana según F1 macro de validación. El presupuesto será de hasta 100 épocas por ejecución. Se comparará cada arquitectura con y sin rotación y ruido espacial leves, aplicados solo a entrenamiento. La selección se hará por F1 macro medio en validación; ante resultados próximos, se favorecerá menor latencia. El preentrenamiento adicional con ASL y la ampliación a 20 señas quedan como extensiones posteriores al núcleo evaluable.</w:t>
      </w:r>
    </w:p>
    <w:p w:rsidR="00000000" w:rsidDel="00000000" w:rsidP="00000000" w:rsidRDefault="00000000" w:rsidRPr="00000000" w14:paraId="00000021">
      <w:pPr>
        <w:rPr/>
      </w:pPr>
      <w:r w:rsidDel="00000000" w:rsidR="00000000" w:rsidRPr="00000000">
        <w:rPr>
          <w:rtl w:val="0"/>
        </w:rPr>
        <w:t xml:space="preserve">Se reservarán grupos de señantes aproximadamente en proporción 70/10/20. Con 70 identidades válidas y cobertura completa se obtendrían 49/7/14 personas; los conteos finales dependerán de la auditoría. La asignación quedará congelada antes del entrenamiento. Se reportarán exactitud, precisión, recall y F1 por clase, F1 macro (promedio del F1 de las clases con igual peso) y matriz de confusión. La prueba no se usará para seleccionar arquitectura, umbral ni transformaciones. Se estimará incertidumbre mediante remuestreo por señante y se publicarán los resultados de las tres semillas.</w:t>
      </w:r>
    </w:p>
    <w:p w:rsidR="00000000" w:rsidDel="00000000" w:rsidP="00000000" w:rsidRDefault="00000000" w:rsidRPr="00000000" w14:paraId="00000022">
      <w:pPr>
        <w:rPr/>
      </w:pPr>
      <w:r w:rsidDel="00000000" w:rsidR="00000000" w:rsidRPr="00000000">
        <w:rPr>
          <w:rtl w:val="0"/>
        </w:rPr>
        <w:t xml:space="preserve">El análisis distinguirá clasificación sobre muestras procesables y desempeño integral sobre todas las muestras elegibles, contando como fallos los rechazos del extractor. Un umbral de confianza ajustado exclusivamente en validación permitirá solicitar repetición. Se reportarán cobertura y acierto entre predicciones aceptadas; una confianza alta no garantiza la detección de señas desconocidas. Los ejemplos negativos de webcam tendrán una evaluación separada, sin constituir una undécima clase ficticia.</w:t>
      </w:r>
    </w:p>
    <w:p w:rsidR="00000000" w:rsidDel="00000000" w:rsidP="00000000" w:rsidRDefault="00000000" w:rsidRPr="00000000" w14:paraId="00000023">
      <w:pPr>
        <w:rPr/>
      </w:pPr>
      <w:r w:rsidDel="00000000" w:rsidR="00000000" w:rsidRPr="00000000">
        <w:rPr>
          <w:rtl w:val="0"/>
        </w:rPr>
        <w:t xml:space="preserve">La aplicación se desplegará localmente con FastAPI, una interfaz web y un contenedor reproducible. El navegador capturará una seña con inicio y fin explícitos y enviará seis imágenes al servicio. El usuario verá la etiqueta, una opción de corrección o una solicitud de repetición. El percentil 95 (p95) del tiempo de respuesta se medirá desde el fin de captura hasta el texto visible, incluyendo extracción, inferencia y presentación; también se registrarán tiempos de cada etapa, equipo y versiones.</w:t>
      </w:r>
    </w:p>
    <w:p w:rsidR="00000000" w:rsidDel="00000000" w:rsidP="00000000" w:rsidRDefault="00000000" w:rsidRPr="00000000" w14:paraId="00000024">
      <w:pPr>
        <w:pStyle w:val="Heading1"/>
        <w:rPr/>
      </w:pPr>
      <w:r w:rsidDel="00000000" w:rsidR="00000000" w:rsidRPr="00000000">
        <w:rPr>
          <w:rtl w:val="0"/>
        </w:rPr>
        <w:t xml:space="preserve">5 Fuente y descripción inicial de los datos</w:t>
      </w:r>
    </w:p>
    <w:p w:rsidR="00000000" w:rsidDel="00000000" w:rsidP="00000000" w:rsidRDefault="00000000" w:rsidRPr="00000000" w14:paraId="00000025">
      <w:pPr>
        <w:rPr/>
      </w:pPr>
      <w:r w:rsidDel="00000000" w:rsidR="00000000" w:rsidRPr="00000000">
        <w:rPr>
          <w:rtl w:val="0"/>
        </w:rPr>
        <w:t xml:space="preserve">La fuente principal será la versión 2 de Speak in Colombian Sign Language de Mendeley Data, con licencia CC BY 4.0 [7]. Se utilizará únicamente LSC70W. La publicación describe 4.200 imágenes JPG de 640 × 480 píxeles y diez palabras [3]; su agrupación en secuencias de seis implica unas 700 muestras, cifra derivada pendiente de verificación en los archivos. Las 35.208 imágenes y 47 clases corresponden al recurso completo, no al subconjunto de palabras.</w:t>
      </w:r>
    </w:p>
    <w:p w:rsidR="00000000" w:rsidDel="00000000" w:rsidP="00000000" w:rsidRDefault="00000000" w:rsidRPr="00000000" w14:paraId="00000026">
      <w:pPr>
        <w:rPr/>
      </w:pPr>
      <w:r w:rsidDel="00000000" w:rsidR="00000000" w:rsidRPr="00000000">
        <w:rPr>
          <w:rtl w:val="0"/>
        </w:rPr>
        <w:t xml:space="preserve">La auditoría registrará número real de muestras, clases, personas, cuadros ausentes, duplicados, orden temporal y fallos de extracción. Las imágenes de una secuencia y sus derivados permanecerán en la misma partición. Los principales desafíos son la baja resolución, oclusiones, ejecución de personas no expertas, transiciones incompletas y diferencia entre captura pública y webcam. No se considerará que los puntos corporales eliminan estos sesgos.</w:t>
      </w:r>
    </w:p>
    <w:p w:rsidR="00000000" w:rsidDel="00000000" w:rsidP="00000000" w:rsidRDefault="00000000" w:rsidRPr="00000000" w14:paraId="00000027">
      <w:pPr>
        <w:rPr/>
      </w:pPr>
      <w:r w:rsidDel="00000000" w:rsidR="00000000" w:rsidRPr="00000000">
        <w:rPr>
          <w:rtl w:val="0"/>
        </w:rPr>
        <w:t xml:space="preserve">Como complemento se proyectan 90 capturas positivas de tres personas para desarrollo y 150 de otras cinco personas para prueba externa, con tres intentos por clase. Se añadirán 12 intentos negativos por persona: reposo, gestos ajenos al vocabulario y otras señas verificadas. Las personas del piloto externo no participarán en ajuste ni selección. Se registrará su experiencia en LSC; si solo participan oyentes instruidos, la evidencia se limitará a un piloto técnico. La participación será voluntaria, con consentimiento y acceso restringido a grabaciones y coordenadas.</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6 Resultados esperados y viabilidad</w:t>
      </w:r>
    </w:p>
    <w:p w:rsidR="00000000" w:rsidDel="00000000" w:rsidP="00000000" w:rsidRDefault="00000000" w:rsidRPr="00000000" w14:paraId="0000002A">
      <w:pPr>
        <w:rPr/>
      </w:pPr>
      <w:r w:rsidDel="00000000" w:rsidR="00000000" w:rsidRPr="00000000">
        <w:rPr>
          <w:rtl w:val="0"/>
        </w:rPr>
        <w:t xml:space="preserve">Se entregarán un conjunto procesado con documentación de procedencia y particiones; una comparación de cuatro configuraciones con métricas reproducibles; un modelo exportado con sus etiquetas y parámetros de preprocesamiento; y una aplicación funcional con instrucciones de uso, mediciones de latencia y registro de errores. Los objetivos numéricos son metas de evaluación, no resultados ya obtenidos.</w:t>
      </w:r>
    </w:p>
    <w:p w:rsidR="00000000" w:rsidDel="00000000" w:rsidP="00000000" w:rsidRDefault="00000000" w:rsidRPr="00000000" w14:paraId="0000002B">
      <w:pPr>
        <w:rPr/>
      </w:pPr>
      <w:r w:rsidDel="00000000" w:rsidR="00000000" w:rsidRPr="00000000">
        <w:rPr>
          <w:rtl w:val="0"/>
        </w:rPr>
        <w:t xml:space="preserve">La revisión del vocabulario por una persona sorda usuaria de LSC o un intérprete competente y el piloto permitirán documentar problemas de ejecución y comprensión de la interfaz. El éxito de uso se medirá por finalización de tareas y necesidad de asistencia. La prueba no permite concluir reducción de costos ni sustitución de interpretación humana. Si el desempeño queda bajo las metas, el artículo explicará las causas y conservará todos los resultados, sin modificar retrospectivamente las particiones.</w:t>
      </w:r>
    </w:p>
    <w:p w:rsidR="00000000" w:rsidDel="00000000" w:rsidP="00000000" w:rsidRDefault="00000000" w:rsidRPr="00000000" w14:paraId="0000002C">
      <w:pPr>
        <w:rPr/>
      </w:pPr>
      <w:r w:rsidDel="00000000" w:rsidR="00000000" w:rsidRPr="00000000">
        <w:rPr>
          <w:rtl w:val="0"/>
        </w:rPr>
        <w:t xml:space="preserve">El alcance de diez clases, dos modelos compactos y ejecución local concentra los recursos en resultados comprobables. La versión estable estará prevista para el 27 de noviembre de 2026, antes de la presentación del 2 de diciembre y de la entrega del artículo del 4 de diciembre.</w:t>
      </w:r>
    </w:p>
    <w:p w:rsidR="00000000" w:rsidDel="00000000" w:rsidP="00000000" w:rsidRDefault="00000000" w:rsidRPr="00000000" w14:paraId="0000002D">
      <w:pPr>
        <w:rPr/>
      </w:pPr>
      <w:r w:rsidDel="00000000" w:rsidR="00000000" w:rsidRPr="00000000">
        <w:rPr>
          <w:b w:val="1"/>
          <w:bCs w:val="1"/>
          <w:rtl w:val="0"/>
        </w:rPr>
        <w:t xml:space="preserve">Uso de inteligencia artificial generativa.</w:t>
      </w:r>
      <w:r w:rsidDel="00000000" w:rsidR="00000000" w:rsidRPr="00000000">
        <w:rPr>
          <w:rtl w:val="0"/>
        </w:rPr>
        <w:t xml:space="preserve"> Se utilizó ChatGPT como apoyo para reorganizar la propuesta, revisar redacción, localizar bibliografía y especificar el plan técnico. La propuesta no contiene resultados experimentales generados por IA. Los autores son responsables de contrastar las fuentes, ejecutar los experimentos y revisar la versión que entreguen.</w:t>
      </w:r>
    </w:p>
    <w:p w:rsidR="00000000" w:rsidDel="00000000" w:rsidP="00000000" w:rsidRDefault="00000000" w:rsidRPr="00000000" w14:paraId="0000002E">
      <w:pPr>
        <w:pStyle w:val="Heading1"/>
        <w:rPr/>
      </w:pPr>
      <w:r w:rsidDel="00000000" w:rsidR="00000000" w:rsidRPr="00000000">
        <w:rPr>
          <w:rtl w:val="0"/>
        </w:rPr>
        <w:t xml:space="preserve">Referencias</w:t>
      </w:r>
    </w:p>
    <w:p w:rsidR="00000000" w:rsidDel="00000000" w:rsidP="00000000" w:rsidRDefault="00000000" w:rsidRPr="00000000" w14:paraId="0000002F">
      <w:pPr>
        <w:spacing w:after="120" w:lineRule="auto"/>
        <w:rPr/>
      </w:pPr>
      <w:r w:rsidDel="00000000" w:rsidR="00000000" w:rsidRPr="00000000">
        <w:rPr>
          <w:sz w:val="20"/>
          <w:szCs w:val="20"/>
          <w:rtl w:val="0"/>
        </w:rPr>
        <w:t xml:space="preserve">[1] Instituto Nacional para Sordos, “Las personas sordas según sus particularidades lingüísticas y comunicativas”, Guía de producción audiovisual, cap. 1, s. f. [En línea]. Disponible: </w:t>
      </w:r>
      <w:hyperlink r:id="rId6">
        <w:r w:rsidDel="00000000" w:rsidR="00000000" w:rsidRPr="00000000">
          <w:rPr>
            <w:color w:val="145b85"/>
            <w:rtl w:val="0"/>
          </w:rPr>
          <w:t xml:space="preserve">https://conecta.insor.gov.co/guia-audiovisual/capitulo-1/</w:t>
        </w:r>
      </w:hyperlink>
      <w:r w:rsidDel="00000000" w:rsidR="00000000" w:rsidRPr="00000000">
        <w:rPr>
          <w:sz w:val="20"/>
          <w:szCs w:val="20"/>
          <w:rtl w:val="0"/>
        </w:rPr>
        <w:t xml:space="preserve"> [Consulta: 22 oct. 2026].</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sz w:val="20"/>
          <w:szCs w:val="20"/>
          <w:rtl w:val="0"/>
        </w:rPr>
        <w:t xml:space="preserve">[2] J. A. Muñoz-Galindez y R. Vargas-Cañas, “Modelo de interpretación de lengua de señas colombiano usando inteligencia artificial”, Revista de Investigación, Desarrollo e Innovación, vol. 13, n.º 2, pp. 357–366, 2023. doi: 10.19053/20278306.v13.n2.2023.16840.</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sz w:val="20"/>
          <w:szCs w:val="20"/>
          <w:rtl w:val="0"/>
        </w:rPr>
        <w:t xml:space="preserve">[3] J. A. Muñoz Galindez, L. V. Villota Coral y R. Vargas Cañas, “The dynamic Colombian sign language dataset for basic conversation LSC70”, Data in Brief, vol. 58, art. 111213, 2025; publicación anticipada: 7 dic. 2024. doi: 10.1016/j.dib.2024.111213.</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sz w:val="20"/>
          <w:szCs w:val="20"/>
          <w:rtl w:val="0"/>
        </w:rPr>
        <w:t xml:space="preserve">[4] M. Yánez y A. Aguilera, “Reconocimiento aislado de la lengua de señas chilena en tiempo real usando Deep Learning”, Ingeniare. Revista chilena de ingeniería, vol. 32, art. 29, 2024. [En línea]. Disponible: </w:t>
      </w:r>
      <w:hyperlink r:id="rId7">
        <w:r w:rsidDel="00000000" w:rsidR="00000000" w:rsidRPr="00000000">
          <w:rPr>
            <w:color w:val="145b85"/>
            <w:rtl w:val="0"/>
          </w:rPr>
          <w:t xml:space="preserve">https://ingeniare.uta.cl/index.php/inge/article/download/1459/892/4444</w:t>
        </w:r>
      </w:hyperlink>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sz w:val="20"/>
          <w:szCs w:val="20"/>
          <w:rtl w:val="0"/>
        </w:rPr>
        <w:t xml:space="preserve">[5] N. C. Camgoz, O. Koller, S. Hadfield y R. Bowden, “Sign Language Transformers: Joint End-to-end Sign Language Recognition and Translation”, Proc. IEEE/CVF CVPR, pp. 10023–10033, 2020. doi: 10.1109/CVPR42600.2020.01004. Versión de autor: </w:t>
      </w:r>
      <w:hyperlink r:id="rId8">
        <w:r w:rsidDel="00000000" w:rsidR="00000000" w:rsidRPr="00000000">
          <w:rPr>
            <w:color w:val="145b85"/>
            <w:rtl w:val="0"/>
          </w:rPr>
          <w:t xml:space="preserve">https://arxiv.org/abs/2003.13830</w:t>
        </w:r>
      </w:hyperlink>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sz w:val="20"/>
          <w:szCs w:val="20"/>
          <w:rtl w:val="0"/>
        </w:rPr>
        <w:t xml:space="preserve">[6] C. Lugaresi et al., “MediaPipe: A Framework for Building Perception Pipelines”, arXiv:1906.08172, 2019. doi: 10.48550/arXiv.1906.08172.</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sz w:val="20"/>
          <w:szCs w:val="20"/>
          <w:rtl w:val="0"/>
        </w:rPr>
        <w:t xml:space="preserve">[7] J. A. Muñoz Galindez, L. V. Villota Coral y R. Vargas-Canas, “Speak in Colombian Sign Language: A Dynamic LSC70 Database”, Mendeley Data, versión 2, 2024. doi: 10.17632/9ssyn8tff5.2.</w:t>
      </w:r>
      <w:r w:rsidDel="00000000" w:rsidR="00000000" w:rsidRPr="00000000">
        <w:rPr>
          <w:rtl w:val="0"/>
        </w:rPr>
      </w:r>
    </w:p>
    <w:sectPr>
      <w:footerReference r:id="rId9" w:type="default"/>
      <w:pgSz w:h="15840" w:w="12240" w:orient="portrait"/>
      <w:pgMar w:bottom="893" w:top="922" w:left="1224" w:right="1224" w:header="360" w:footer="37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Proyecto LSC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Arial" w:cs="Arial" w:eastAsia="Arial" w:hAnsi="Arial"/>
      <w:b w:val="1"/>
      <w:bCs w:val="1"/>
      <w:color w:val="000000"/>
      <w:sz w:val="26"/>
      <w:szCs w:val="26"/>
    </w:rPr>
  </w:style>
  <w:style w:type="paragraph" w:styleId="Heading2">
    <w:name w:val="heading 2"/>
    <w:basedOn w:val="Normal"/>
    <w:next w:val="Normal"/>
    <w:pPr>
      <w:keepNext w:val="1"/>
      <w:keepLines w:val="1"/>
      <w:spacing w:after="100" w:before="180" w:lineRule="auto"/>
    </w:pPr>
    <w:rPr>
      <w:rFonts w:ascii="Arial" w:cs="Arial" w:eastAsia="Arial" w:hAnsi="Arial"/>
      <w:b w:val="1"/>
      <w:bCs w:val="1"/>
      <w:color w:val="000000"/>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0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onecta.insor.gov.co/guia-audiovisual/capitulo-1/" TargetMode="External"/><Relationship Id="rId7" Type="http://schemas.openxmlformats.org/officeDocument/2006/relationships/hyperlink" Target="https://ingeniare.uta.cl/index.php/inge/article/download/1459/892/4444" TargetMode="External"/><Relationship Id="rId8" Type="http://schemas.openxmlformats.org/officeDocument/2006/relationships/hyperlink" Target="https://arxiv.org/abs/2003.138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