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Mart 2026 — Sürüm 15</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istatistiksel olarak desteklenmemiştir.</w:t>
      </w:r>
    </w:p>
    <w:p>
      <w:r>
        <w:t>Ana Bulgu (Ablasyon): oracle_full ajanı (sigma + regime_true), mükemmel rejim bilgisine sahip olmasına karşın ppo_sigma_only'yi (Sharpe: 0.753 vs 0.722) geçememiştir. oracle_full ile combined arasındaki fark istatistiksel olarak anlamsızdır (p = 0.301). Bu sonuç, rejim etiketinin — gerçek ya da tahmini — sigma_hat'in zaten taşıdığı bilginin üzerine anlamlı katkı sağlamadığını kanıtlamaktadır.</w:t>
      </w:r>
    </w:p>
    <w:p>
      <w:r>
        <w:t>Detector robustness deneyi — rv_baseline (%60.7), rv_dwell (%60.4) ve HMM (%81.8) dedektörleri ile 20 tohumda yinelenen analiz — null sonucun dedektör seçiminden bağımsız olduğunu doğrulamaktadır (tüm dedektörler için Sharpe bazlı p &gt; 0.08).</w:t>
      </w:r>
    </w:p>
    <w:p>
      <w:r>
        <w:t>Anahtar kelimeler: piyasa yapıcılığı, pekiştirmeli öğrenme, PPO, volatilite rejimleri, Avellaneda-Stoikov, ablasyon, oracle agent, sinyal yedekliliği</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tick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Wilcoxon işaretli sıra testi: p = 0.261 (anlamlı değil). Eşleştirilmiş t-testi (equity): p = 0.023.</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211362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211362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022840"/>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022840"/>
                    </a:xfrm>
                    <a:prstGeom prst="rect"/>
                  </pic:spPr>
                </pic:pic>
              </a:graphicData>
            </a:graphic>
          </wp:inline>
        </w:drawing>
      </w:r>
    </w:p>
    <w:p>
      <w:r>
        <w:t>Şekil 2. Seed bazında PPO-aware ve PPO-blind karşılaştırması (her nokta bir seed, n=20). Kesikli çizgi y=x referansıdır. Sol: Sharpe (Wilcoxon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6 temel karşılaştırmanın eşleştirilmiş t-testi sonuçlarını göstermektedir (n=20 seed, Bonferroni düzeltmesi: α = 0.01/10 = 0.001).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bl>
    <w:p>
      <w:r>
        <w:t>Oracle Paradoksu Özeti: oracle_full vs combined farkı Sharpe'ta p = 0.301, equity'de p = 0.360 — istatistiksel olarak hiçbir anlamlılık yok. Mükemmel etiket, tahmini etiketten ayırt edilemez.</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5_action_analysis.png"/>
                    <pic:cNvPicPr/>
                  </pic:nvPicPr>
                  <pic:blipFill>
                    <a:blip r:embed="rId11"/>
                    <a:stretch>
                      <a:fillRect/>
                    </a:stretch>
                  </pic:blipFill>
                  <pic:spPr>
                    <a:xfrm>
                      <a:off x="0" y="0"/>
                      <a:ext cx="5029200" cy="3017520"/>
                    </a:xfrm>
                    <a:prstGeom prst="rect"/>
                  </pic:spPr>
                </pic:pic>
              </a:graphicData>
            </a:graphic>
          </wp:inline>
        </w:drawing>
      </w:r>
    </w:p>
    <w:p>
      <w:r>
        <w:t>Şekil 3.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2110225"/>
            <wp:docPr id="4" name="Picture 4"/>
            <wp:cNvGraphicFramePr>
              <a:graphicFrameLocks noChangeAspect="1"/>
            </wp:cNvGraphicFramePr>
            <a:graphic>
              <a:graphicData uri="http://schemas.openxmlformats.org/drawingml/2006/picture">
                <pic:pic>
                  <pic:nvPicPr>
                    <pic:cNvPr id="0" name="fig3_regime_sharpe.png"/>
                    <pic:cNvPicPr/>
                  </pic:nvPicPr>
                  <pic:blipFill>
                    <a:blip r:embed="rId12"/>
                    <a:stretch>
                      <a:fillRect/>
                    </a:stretch>
                  </pic:blipFill>
                  <pic:spPr>
                    <a:xfrm>
                      <a:off x="0" y="0"/>
                      <a:ext cx="5029200" cy="2110225"/>
                    </a:xfrm>
                    <a:prstGeom prst="rect"/>
                  </pic:spPr>
                </pic:pic>
              </a:graphicData>
            </a:graphic>
          </wp:inline>
        </w:drawing>
      </w:r>
    </w:p>
    <w:p>
      <w:r>
        <w:t>Şekil 4.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426675"/>
            <wp:docPr id="5" name="Picture 5"/>
            <wp:cNvGraphicFramePr>
              <a:graphicFrameLocks noChangeAspect="1"/>
            </wp:cNvGraphicFramePr>
            <a:graphic>
              <a:graphicData uri="http://schemas.openxmlformats.org/drawingml/2006/picture">
                <pic:pic>
                  <pic:nvPicPr>
                    <pic:cNvPr id="0" name="fig4_detector_robustness.png"/>
                    <pic:cNvPicPr/>
                  </pic:nvPicPr>
                  <pic:blipFill>
                    <a:blip r:embed="rId13"/>
                    <a:stretch>
                      <a:fillRect/>
                    </a:stretch>
                  </pic:blipFill>
                  <pic:spPr>
                    <a:xfrm>
                      <a:off x="0" y="0"/>
                      <a:ext cx="5029200" cy="3426675"/>
                    </a:xfrm>
                    <a:prstGeom prst="rect"/>
                  </pic:spPr>
                </pic:pic>
              </a:graphicData>
            </a:graphic>
          </wp:inline>
        </w:drawing>
      </w:r>
    </w:p>
    <w:p>
      <w:r>
        <w:t>Şekil 5. Dedektör bazında ortalama Sharpe (20 tohum). PPO-blind Sharpe değeri tüm dedektörlerde 0.753 olarak sabit kalmakta; PPO-aware ise dedektör seçiminden bağımsız olarak ~0.717-0.719 düzeyinde seyretmektedir.</w:t>
      </w:r>
    </w:p>
    <w:p>
      <w:pPr>
        <w:pStyle w:val="Heading1"/>
      </w:pPr>
      <w:r>
        <w:t>5.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farkındalığı hipotezi reddedilmedi): Rejim bilgisinin ilave edilmesi anlamlı performans artışı sağlamamaktadır. Bu null sonuç, gözlem uzayında hali hazırda bulunan σ̂_t'nin rejim bilgisini örtük olarak içermesiyle açıklanmaktadır.</w:t>
      </w:r>
    </w:p>
    <w:p>
      <w:r>
        <w:t>Bulgu 3 — Pure Ablation (Sinyal Yedekliliği Kanıtı): ppo_sigma_only en yüksek performansı elde etmiştir — oracle_full'ı bile geçmektedir. oracle_full ile combined arasındaki fark istatistiksel olarak anlamsızdır (p = 0.301 Sharpe, p = 0.360 equity).</w:t>
      </w:r>
    </w:p>
    <w:p>
      <w:r>
        <w:t>Bulgu 4 — Dedektör Bağımsızlığı: Null sonuç, %60.4'ten %81.8'e kadar üç farklı dedektör performansında tutarlı biçimde korunmuştur (ANOVA: F = 0.003, p = 0.997).</w:t>
      </w:r>
    </w:p>
    <w:p>
      <w:pPr>
        <w:pStyle w:val="Heading2"/>
      </w:pPr>
      <w:r>
        <w:t>Gelecek Çalışmalar</w:t>
      </w:r>
    </w:p>
    <w:p>
      <w:pPr>
        <w:pStyle w:val="ListParagraph"/>
      </w:pPr>
      <w:r>
        <w:t>(1) Rejime koşullu ödül tasarımı</w:t>
      </w:r>
    </w:p>
    <w:p>
      <w:pPr>
        <w:pStyle w:val="ListParagraph"/>
      </w:pPr>
      <w:r>
        <w:t>(2) Model yanlış belirleme (model misspecification) benchmark'ı — AS parametrelerinin (A, k) rejime bağlı kılınması.</w:t>
      </w:r>
    </w:p>
    <w:p>
      <w:pPr>
        <w:pStyle w:val="ListParagraph"/>
      </w:pPr>
      <w:r>
        <w:t>(3) Paper yayını: iyi nitelendirilmiş null result ile kontrollü RL vs. klasik piyasa yapıcılığı kıyaslaması.</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src/wp5/stats_detector_robustness.py</w:t>
            </w:r>
          </w:p>
        </w:tc>
        <w:tc>
          <w:tcPr>
            <w:tcW w:type="dxa" w:w="4320"/>
          </w:tcPr>
          <w:p>
            <w:r>
              <w:t>İstatistiksel testler (Wilcoxon, t-test,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