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Nisan 2026 — Sürüm 26</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yalnızca istatistiksel olarak desteklenmemekle kalmamış; ppo_sigma_only ile ppo_oracle_full'un Sharpe performansları TOST eşdeğerlik testi ile pratik olarak eşdeğer bulunmuştur (TOST p&lt;0.05, ±0.10 sınır).</w:t>
      </w:r>
    </w:p>
    <w:p>
      <w:r>
        <w:t>Ana Bulgu (Ablasyon): oracle_full ajanı (sigma + regime_true), mükemmel rejim etiketlerine sahip olmasına karşın ppo_sigma_only'yi istatistiksel olarak anlamlı biçimde geçememiştir (Sharpe: 0.753 vs 0.722, p = 0.115).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 Oracle deneyi ise %100 doğrulukla eşdeğer bir test sunmaktadır: ppo_oracle_full mükemmel rejim bilgisiyle dahi sigma_only'yi geçememiştir (p=0.115).</w:t>
      </w:r>
    </w:p>
    <w:p>
      <w:r>
        <w:t>Model misspecification robustness deneyi kapsamında fill model parametreleri A ve k rejime bağlı kılınmış (L: A=4.0/k=1.8, M: A=5.0/k=1.5, H: A=6.0/k=1.2) ve 5-varyant değerlendirmesi bu zorlaştırılmış ortamda yinelenmiştir. ppo_sigma_only yine en yüksek Sharpe değerini elde etmiş (0.686); oracle_full ile aradaki fark istatistiksel olarak anlamsız kalmıştır (p=0.881). Bu bulgu, signal redundancy argümanının çevresel koşullara karşı da sağlam olduğunu göstermektedir.</w:t>
      </w:r>
    </w:p>
    <w:p>
      <w:r>
        <w:t>Anahtar kelimeler: piyasa yapıcılığı, pekiştirmeli öğrenme, PPO, volatilite rejimleri, Avellaneda-Stoikov, ablasyon, oracle agent, sinyal yedekliliği, model yanlış belirleme</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Model Misspecification (Model Yanlış Belirleme)</w:t>
            </w:r>
          </w:p>
        </w:tc>
        <w:tc>
          <w:tcPr>
            <w:tcW w:type="dxa" w:w="4320"/>
          </w:tcPr>
          <w:p>
            <w:r>
              <w:t>Modelin varsayımlarının gerçek veri üretim sürecinden sapması durumu. Bu çalışmada fill parametrelerinin rejime bağlı kılınmasıyla test edilmiştir.</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w:t>
      </w:r>
    </w:p>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lot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Sharpe bazında istatistiksel olarak anlamlı fark gözlemlenmemiştir (paired t-test p = 0.261); ancak equity metriğinde ppo_blind lehine anlamlı fark mevcuttur (p = 0.023). Bu çalışmada risk-adjusted performans ölçütü olarak Sharpe oranı esas alınmaktadır.</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197090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197090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271757"/>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271757"/>
                    </a:xfrm>
                    <a:prstGeom prst="rect"/>
                  </pic:spPr>
                </pic:pic>
              </a:graphicData>
            </a:graphic>
          </wp:inline>
        </w:drawing>
      </w:r>
    </w:p>
    <w:p>
      <w:r>
        <w:t>Şekil 2. Seed bazında PPO-aware ve PPO-blind karşılaştırması (her nokta bir seed, n=20). Kesikli çizgi y=x referansıdır. Sol: Sharpe (paired t-test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br w:type="page"/>
      </w:r>
    </w:p>
    <w:p>
      <w:r>
        <w:drawing>
          <wp:inline xmlns:a="http://schemas.openxmlformats.org/drawingml/2006/main" xmlns:pic="http://schemas.openxmlformats.org/drawingml/2006/picture">
            <wp:extent cx="5029200" cy="1564577"/>
            <wp:docPr id="3" name="Picture 3"/>
            <wp:cNvGraphicFramePr>
              <a:graphicFrameLocks noChangeAspect="1"/>
            </wp:cNvGraphicFramePr>
            <a:graphic>
              <a:graphicData uri="http://schemas.openxmlformats.org/drawingml/2006/picture">
                <pic:pic>
                  <pic:nvPicPr>
                    <pic:cNvPr id="0" name="fig6_ablation_summary.png"/>
                    <pic:cNvPicPr/>
                  </pic:nvPicPr>
                  <pic:blipFill>
                    <a:blip r:embed="rId11"/>
                    <a:stretch>
                      <a:fillRect/>
                    </a:stretch>
                  </pic:blipFill>
                  <pic:spPr>
                    <a:xfrm>
                      <a:off x="0" y="0"/>
                      <a:ext cx="5029200" cy="1564577"/>
                    </a:xfrm>
                    <a:prstGeom prst="rect"/>
                  </pic:spPr>
                </pic:pic>
              </a:graphicData>
            </a:graphic>
          </wp:inline>
        </w:drawing>
      </w:r>
    </w:p>
    <w:p>
      <w:r>
        <w:t>Şekil 3. Beş PPO varyantı için pure ablation özeti (20 tohum, ortalama ± std). Sol panel Sharpe, orta panel final equity, sağ panel inv_p99 değerlerini göstermektedir. AS ve naive referansları bu görsele dahil edilmemiştir; amaç explicit rejim etiketi, oracle rejim etiketi ve sigma_hat sinyalinin marjinal katkısını PPO varyantları içinde doğrudan karşılaştırmaktır.</w:t>
      </w:r>
    </w:p>
    <w:p>
      <w:r>
        <w:t>Bu görsel, Tablo 2'deki ana örüntüyü özetlemektedir: sigma_only en yüksek Sharpe ortalamasına sahiptir ve oracle_full ya da combined varyantlarının üzerinde anlamlı bir iyileşme gözlenmemektedir. Bu desen, explicit rejim etiketinin sigma_hat üzerinde ek risk-adjusted bilgi taşımadığı yönündeki signal redundancy yorumuyla uyumludur.</w:t>
      </w:r>
    </w:p>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12 karşılaştırmanın eşleştirilmiş t-testi sonuçlarını göstermektedir (n=20 seed, Bonferroni düzeltmesi: α = 0.01/12 = 0.00083).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AS</w:t>
            </w:r>
          </w:p>
        </w:tc>
        <w:tc>
          <w:tcPr>
            <w:tcW w:type="dxa" w:w="1440"/>
          </w:tcPr>
          <w:p>
            <w:r>
              <w:t>final_equity</w:t>
            </w:r>
          </w:p>
        </w:tc>
        <w:tc>
          <w:tcPr>
            <w:tcW w:type="dxa" w:w="1440"/>
          </w:tcPr>
          <w:p>
            <w:r>
              <w:t>-1.064</w:t>
            </w:r>
          </w:p>
        </w:tc>
        <w:tc>
          <w:tcPr>
            <w:tcW w:type="dxa" w:w="1440"/>
          </w:tcPr>
          <w:p>
            <w:r>
              <w:t>3.01e-01</w:t>
            </w:r>
          </w:p>
        </w:tc>
        <w:tc>
          <w:tcPr>
            <w:tcW w:type="dxa" w:w="1440"/>
          </w:tcPr>
          <w:p>
            <w:r>
              <w:t>-0.238</w:t>
            </w:r>
          </w:p>
        </w:tc>
        <w:tc>
          <w:tcPr>
            <w:tcW w:type="dxa" w:w="1440"/>
          </w:tcPr>
          <w:p>
            <w:r>
              <w:t>Hayır</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r>
        <w:tc>
          <w:tcPr>
            <w:tcW w:type="dxa" w:w="1440"/>
          </w:tcPr>
          <w:p>
            <w:r>
              <w:t>combined vs naive</w:t>
            </w:r>
          </w:p>
        </w:tc>
        <w:tc>
          <w:tcPr>
            <w:tcW w:type="dxa" w:w="1440"/>
          </w:tcPr>
          <w:p>
            <w:r>
              <w:t>final_equity</w:t>
            </w:r>
          </w:p>
        </w:tc>
        <w:tc>
          <w:tcPr>
            <w:tcW w:type="dxa" w:w="1440"/>
          </w:tcPr>
          <w:p>
            <w:r>
              <w:t>-0.728</w:t>
            </w:r>
          </w:p>
        </w:tc>
        <w:tc>
          <w:tcPr>
            <w:tcW w:type="dxa" w:w="1440"/>
          </w:tcPr>
          <w:p>
            <w:r>
              <w:t>4.76e-01</w:t>
            </w:r>
          </w:p>
        </w:tc>
        <w:tc>
          <w:tcPr>
            <w:tcW w:type="dxa" w:w="1440"/>
          </w:tcPr>
          <w:p>
            <w:r>
              <w:t>-0.163</w:t>
            </w:r>
          </w:p>
        </w:tc>
        <w:tc>
          <w:tcPr>
            <w:tcW w:type="dxa" w:w="1440"/>
          </w:tcPr>
          <w:p>
            <w:r>
              <w:t>Hayır</w:t>
            </w:r>
          </w:p>
        </w:tc>
      </w:tr>
    </w:tbl>
    <w:p>
      <w:r>
        <w:t>Oracle Paradoksu Özeti: oracle_full vs combined farkı Sharpe'ta p = 0.301, equity'de p = 0.360 — istatistiksel olarak hiçbir anlamlılık yok. Mükemmel etiket, tahmini etiketten ayırt edilemez.</w:t>
      </w:r>
    </w:p>
    <w:p>
      <w:r>
        <w:t>TOST equivalence test (bounds ±0.10) confirms practical equivalence between ppo_sigma_only and ppo_oracle_full (p=0.00067). The 90% confidence interval for the Sharpe difference is [−0.001, +0.063] — this is the CI that corresponds to the TOST procedure at α=0.05 and it lies entirely within the ±0.10 equivalence bound. The wider 95% CI [−0.008, +0.069] is also contained within the bound. This provides positive evidence that the performance difference is practically negligible, not merely statistically inconclusive.</w:t>
      </w:r>
    </w:p>
    <w:p>
      <w:r>
        <w:drawing>
          <wp:inline xmlns:a="http://schemas.openxmlformats.org/drawingml/2006/main" xmlns:pic="http://schemas.openxmlformats.org/drawingml/2006/picture">
            <wp:extent cx="5029200" cy="2402582"/>
            <wp:docPr id="4" name="Picture 4"/>
            <wp:cNvGraphicFramePr>
              <a:graphicFrameLocks noChangeAspect="1"/>
            </wp:cNvGraphicFramePr>
            <a:graphic>
              <a:graphicData uri="http://schemas.openxmlformats.org/drawingml/2006/picture">
                <pic:pic>
                  <pic:nvPicPr>
                    <pic:cNvPr id="0" name="fig7_oracle_paired_seed.png"/>
                    <pic:cNvPicPr/>
                  </pic:nvPicPr>
                  <pic:blipFill>
                    <a:blip r:embed="rId12"/>
                    <a:stretch>
                      <a:fillRect/>
                    </a:stretch>
                  </pic:blipFill>
                  <pic:spPr>
                    <a:xfrm>
                      <a:off x="0" y="0"/>
                      <a:ext cx="5029200" cy="2402582"/>
                    </a:xfrm>
                    <a:prstGeom prst="rect"/>
                  </pic:spPr>
                </pic:pic>
              </a:graphicData>
            </a:graphic>
          </wp:inline>
        </w:drawing>
      </w:r>
    </w:p>
    <w:p>
      <w:r>
        <w:t>Şekil 4. Oracle paradoksunun seed bazında görselleştirilmesi. Sol panel doğrudan karşılaştırmayı gösterir: ppo_sigma_only ile ppo_oracle_full Sharpe değerleri aynı test seed'leri üzerinde eşleştirilmiştir (paired t-test p = 0.115). Sağ panel oracle_full ile combined varyantlarını karşılaştırır (p = 0.301). Kesikli çizgi y=x referansıdır.</w:t>
      </w:r>
    </w:p>
    <w:p>
      <w:r>
        <w:t>Bu şeklin birincil yorumu sol paneldir: mükemmel rejim etiketlerine sahip oracle_full, sigma_only varyantını Sharpe bazında istatistiksel olarak anlamlı biçimde geçememektedir. Dolayısıyla oracle varyantı, dedektör gürültüsü eleştirisini sınırlayan güçlü bir üst-sınır testi sunar; ancak p=0.115 sonucu, kanıtı deterministik bir eşdeğerlik iddiası olarak değil, anlamlı üstünlük bulunmaması olarak yorumlanmalıdır.</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5_action_analysis.png"/>
                    <pic:cNvPicPr/>
                  </pic:nvPicPr>
                  <pic:blipFill>
                    <a:blip r:embed="rId13"/>
                    <a:stretch>
                      <a:fillRect/>
                    </a:stretch>
                  </pic:blipFill>
                  <pic:spPr>
                    <a:xfrm>
                      <a:off x="0" y="0"/>
                      <a:ext cx="5029200" cy="3017520"/>
                    </a:xfrm>
                    <a:prstGeom prst="rect"/>
                  </pic:spPr>
                </pic:pic>
              </a:graphicData>
            </a:graphic>
          </wp:inline>
        </w:drawing>
      </w:r>
    </w:p>
    <w:p>
      <w:r>
        <w:t>Şekil 5.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1970903"/>
            <wp:docPr id="6" name="Picture 6"/>
            <wp:cNvGraphicFramePr>
              <a:graphicFrameLocks noChangeAspect="1"/>
            </wp:cNvGraphicFramePr>
            <a:graphic>
              <a:graphicData uri="http://schemas.openxmlformats.org/drawingml/2006/picture">
                <pic:pic>
                  <pic:nvPicPr>
                    <pic:cNvPr id="0" name="fig3_regime_sharpe.png"/>
                    <pic:cNvPicPr/>
                  </pic:nvPicPr>
                  <pic:blipFill>
                    <a:blip r:embed="rId14"/>
                    <a:stretch>
                      <a:fillRect/>
                    </a:stretch>
                  </pic:blipFill>
                  <pic:spPr>
                    <a:xfrm>
                      <a:off x="0" y="0"/>
                      <a:ext cx="5029200" cy="1970903"/>
                    </a:xfrm>
                    <a:prstGeom prst="rect"/>
                  </pic:spPr>
                </pic:pic>
              </a:graphicData>
            </a:graphic>
          </wp:inline>
        </w:drawing>
      </w:r>
    </w:p>
    <w:p>
      <w:r>
        <w:t>Şekil 6.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111285"/>
            <wp:docPr id="7" name="Picture 7"/>
            <wp:cNvGraphicFramePr>
              <a:graphicFrameLocks noChangeAspect="1"/>
            </wp:cNvGraphicFramePr>
            <a:graphic>
              <a:graphicData uri="http://schemas.openxmlformats.org/drawingml/2006/picture">
                <pic:pic>
                  <pic:nvPicPr>
                    <pic:cNvPr id="0" name="fig4_detector_robustness.png"/>
                    <pic:cNvPicPr/>
                  </pic:nvPicPr>
                  <pic:blipFill>
                    <a:blip r:embed="rId15"/>
                    <a:stretch>
                      <a:fillRect/>
                    </a:stretch>
                  </pic:blipFill>
                  <pic:spPr>
                    <a:xfrm>
                      <a:off x="0" y="0"/>
                      <a:ext cx="5029200" cy="3111285"/>
                    </a:xfrm>
                    <a:prstGeom prst="rect"/>
                  </pic:spPr>
                </pic:pic>
              </a:graphicData>
            </a:graphic>
          </wp:inline>
        </w:drawing>
      </w:r>
    </w:p>
    <w:p>
      <w:r>
        <w:t>Şekil 7. Dedektör bazında ortalama Sharpe (20 tohum). PPO-blind Sharpe değeri tüm dedektörlerde 0.753 olarak sabit kalmakta; PPO-aware ise dedektör seçiminden bağımsız olarak ~0.717-0.719 düzeyinde seyretmektedir.</w:t>
      </w:r>
    </w:p>
    <w:p>
      <w:pPr>
        <w:pStyle w:val="Heading2"/>
      </w:pPr>
      <w:r>
        <w:t>4.7 Rejime Koşullu Envanter Cezası Deneyi</w:t>
      </w:r>
    </w:p>
    <w:p>
      <w:r>
        <w:t>Danışmanın önerisi doğrultusunda, null sonucun ödül tasarımı boyutunda da sınanması amacıyla rejime koşullu envanter cezası deneyi gerçekleştirilmiştir. Sabit η = 0.001 yerine ηL = 0.0005, ηM = 0.001, ηH = 0.0025 konfigürasyonu kullanılmış; beş varyant 20 tohum, 1M timestep ile eğitilmiştir.</w:t>
      </w:r>
    </w:p>
    <w:p>
      <w:r>
        <w:t>Tablo 6, sonuçları özetlemektedir.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Ort. Sharpe</w:t>
            </w:r>
          </w:p>
        </w:tc>
        <w:tc>
          <w:tcPr>
            <w:tcW w:type="dxa" w:w="2160"/>
          </w:tcPr>
          <w:p>
            <w:r>
              <w:rPr>
                <w:b/>
              </w:rPr>
              <w:t>Std Sharpe</w:t>
            </w:r>
          </w:p>
        </w:tc>
        <w:tc>
          <w:tcPr>
            <w:tcW w:type="dxa" w:w="2160"/>
          </w:tcPr>
          <w:p>
            <w:r>
              <w:rPr>
                <w:b/>
              </w:rPr>
              <w:t>Ort. Equity</w:t>
            </w:r>
          </w:p>
        </w:tc>
      </w:tr>
      <w:tr>
        <w:tc>
          <w:tcPr>
            <w:tcW w:type="dxa" w:w="2160"/>
          </w:tcPr>
          <w:p>
            <w:r>
              <w:t>ppo_sigma_only</w:t>
            </w:r>
          </w:p>
        </w:tc>
        <w:tc>
          <w:tcPr>
            <w:tcW w:type="dxa" w:w="2160"/>
          </w:tcPr>
          <w:p>
            <w:r>
              <w:t>0.714</w:t>
            </w:r>
          </w:p>
        </w:tc>
        <w:tc>
          <w:tcPr>
            <w:tcW w:type="dxa" w:w="2160"/>
          </w:tcPr>
          <w:p>
            <w:r>
              <w:t>0.119</w:t>
            </w:r>
          </w:p>
        </w:tc>
        <w:tc>
          <w:tcPr>
            <w:tcW w:type="dxa" w:w="2160"/>
          </w:tcPr>
          <w:p>
            <w:r>
              <w:t>3.91</w:t>
            </w:r>
          </w:p>
        </w:tc>
      </w:tr>
      <w:tr>
        <w:tc>
          <w:tcPr>
            <w:tcW w:type="dxa" w:w="2160"/>
          </w:tcPr>
          <w:p>
            <w:r>
              <w:t>ppo_combined</w:t>
            </w:r>
          </w:p>
        </w:tc>
        <w:tc>
          <w:tcPr>
            <w:tcW w:type="dxa" w:w="2160"/>
          </w:tcPr>
          <w:p>
            <w:r>
              <w:t>0.629</w:t>
            </w:r>
          </w:p>
        </w:tc>
        <w:tc>
          <w:tcPr>
            <w:tcW w:type="dxa" w:w="2160"/>
          </w:tcPr>
          <w:p>
            <w:r>
              <w:t>0.147</w:t>
            </w:r>
          </w:p>
        </w:tc>
        <w:tc>
          <w:tcPr>
            <w:tcW w:type="dxa" w:w="2160"/>
          </w:tcPr>
          <w:p>
            <w:r>
              <w:t>3.50</w:t>
            </w:r>
          </w:p>
        </w:tc>
      </w:tr>
      <w:tr>
        <w:tc>
          <w:tcPr>
            <w:tcW w:type="dxa" w:w="2160"/>
          </w:tcPr>
          <w:p>
            <w:r>
              <w:t>ppo_oracle_full</w:t>
            </w:r>
          </w:p>
        </w:tc>
        <w:tc>
          <w:tcPr>
            <w:tcW w:type="dxa" w:w="2160"/>
          </w:tcPr>
          <w:p>
            <w:r>
              <w:t>0.638</w:t>
            </w:r>
          </w:p>
        </w:tc>
        <w:tc>
          <w:tcPr>
            <w:tcW w:type="dxa" w:w="2160"/>
          </w:tcPr>
          <w:p>
            <w:r>
              <w:t>0.158</w:t>
            </w:r>
          </w:p>
        </w:tc>
        <w:tc>
          <w:tcPr>
            <w:tcW w:type="dxa" w:w="2160"/>
          </w:tcPr>
          <w:p>
            <w:r>
              <w:t>3.38</w:t>
            </w:r>
          </w:p>
        </w:tc>
      </w:tr>
      <w:tr>
        <w:tc>
          <w:tcPr>
            <w:tcW w:type="dxa" w:w="2160"/>
          </w:tcPr>
          <w:p>
            <w:r>
              <w:t>ppo_oracle_pure</w:t>
            </w:r>
          </w:p>
        </w:tc>
        <w:tc>
          <w:tcPr>
            <w:tcW w:type="dxa" w:w="2160"/>
          </w:tcPr>
          <w:p>
            <w:r>
              <w:t>0.578</w:t>
            </w:r>
          </w:p>
        </w:tc>
        <w:tc>
          <w:tcPr>
            <w:tcW w:type="dxa" w:w="2160"/>
          </w:tcPr>
          <w:p>
            <w:r>
              <w:t>0.247</w:t>
            </w:r>
          </w:p>
        </w:tc>
        <w:tc>
          <w:tcPr>
            <w:tcW w:type="dxa" w:w="2160"/>
          </w:tcPr>
          <w:p>
            <w:r>
              <w:t>3.45</w:t>
            </w:r>
          </w:p>
        </w:tc>
      </w:tr>
      <w:tr>
        <w:tc>
          <w:tcPr>
            <w:tcW w:type="dxa" w:w="2160"/>
          </w:tcPr>
          <w:p>
            <w:r>
              <w:t>ppo_regime_only</w:t>
            </w:r>
          </w:p>
        </w:tc>
        <w:tc>
          <w:tcPr>
            <w:tcW w:type="dxa" w:w="2160"/>
          </w:tcPr>
          <w:p>
            <w:r>
              <w:t>0.513</w:t>
            </w:r>
          </w:p>
        </w:tc>
        <w:tc>
          <w:tcPr>
            <w:tcW w:type="dxa" w:w="2160"/>
          </w:tcPr>
          <w:p>
            <w:r>
              <w:t>0.238</w:t>
            </w:r>
          </w:p>
        </w:tc>
        <w:tc>
          <w:tcPr>
            <w:tcW w:type="dxa" w:w="2160"/>
          </w:tcPr>
          <w:p>
            <w:r>
              <w:t>3.07</w:t>
            </w:r>
          </w:p>
        </w:tc>
      </w:tr>
    </w:tbl>
    <w:p>
      <w:r>
        <w:drawing>
          <wp:inline xmlns:a="http://schemas.openxmlformats.org/drawingml/2006/main" xmlns:pic="http://schemas.openxmlformats.org/drawingml/2006/picture">
            <wp:extent cx="5029200" cy="2090791"/>
            <wp:docPr id="8" name="Picture 8"/>
            <wp:cNvGraphicFramePr>
              <a:graphicFrameLocks noChangeAspect="1"/>
            </wp:cNvGraphicFramePr>
            <a:graphic>
              <a:graphicData uri="http://schemas.openxmlformats.org/drawingml/2006/picture">
                <pic:pic>
                  <pic:nvPicPr>
                    <pic:cNvPr id="0" name="fig8_eta_regime_summary.png"/>
                    <pic:cNvPicPr/>
                  </pic:nvPicPr>
                  <pic:blipFill>
                    <a:blip r:embed="rId16"/>
                    <a:stretch>
                      <a:fillRect/>
                    </a:stretch>
                  </pic:blipFill>
                  <pic:spPr>
                    <a:xfrm>
                      <a:off x="0" y="0"/>
                      <a:ext cx="5029200" cy="2090791"/>
                    </a:xfrm>
                    <a:prstGeom prst="rect"/>
                  </pic:spPr>
                </pic:pic>
              </a:graphicData>
            </a:graphic>
          </wp:inline>
        </w:drawing>
      </w:r>
    </w:p>
    <w:p>
      <w:r>
        <w:t>Şekil 8. Rejime koşullu envanter cezası deneyinde PPO varyantlarının Sharpe ve final equity sonuçları (20 tohum, ortalama ± std). Görsel, sigma_only ile combined varyantları arasındaki eşleştirilmiş karşılaştırmayı özellikle vurgular: Sharpe için p = 0.0016, final equity için p = 0.008.</w:t>
      </w:r>
    </w:p>
    <w:p>
      <w:r>
        <w:t>Bu görsel, rejime koşullu ödül tasarımının explicit rejim etiketini faydalı hale getirmediğini göstermektedir. combined varyantı hem sigma_hat hem tahmini rejim etiketini gözlemlerken, sigma_only Sharpe bazında istatistiksel olarak daha güçlü kalmaktadır. Bu sonuç ödül kanalı üzerinden yapılan rejim hassaslaştırmasının signal redundancy yorumunu ortadan kaldırmadığını destekler.</w:t>
      </w:r>
    </w:p>
    <w:p>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pPr>
        <w:pStyle w:val="Heading2"/>
      </w:pPr>
      <w:r>
        <w:t>4.8 Model Misspecification Robustness Deneyi</w:t>
      </w:r>
    </w:p>
    <w:p>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r>
        <w:t>Ortam uyarısı (retrospektif not): Bu misspec-mild deneyleri tez yazım sürecinin erken bir aşamasında yürütüldüğünden, rejim parametreleri §3.1'de tanımlanan kanonik ortamla birebir örtüşmemektedir. Misspec-mild koşuları sigma_mult = [0.5, 1.0, 2.0] ve warmup_steps = 400 ile üretilmiştir; kanonik değerler ise sigma_mult = [0.6, 1.0, 1.8] ve warmup_steps = 1000'dir. Bu sapma WP5.5 sinyal denetimi öncesinde yapılan sanity-check sırasında tespit edilmiş, hesaplama maliyeti nedeniyle kanonik parametrelerle yeniden üretim gerçekleştirilmemiştir (bkz. Decisions Log #42, #45). Okuyucunun aşağıdaki tablo ve istatistiklerin bu daha agresif rejim-oranı ortamına ait olduğunu göz önünde bulundurması gerekir; ana null bulgusu (sigma_only ≈ oracle_full) her iki parametre setinde de aynı yönde raporlanmaktadır.</w:t>
      </w:r>
    </w:p>
    <w:p>
      <w:r>
        <w:t>Tasarım: MMSimulator generic kalmış; env.py içinde her adımda regime_true'ya göre ExecParams override edilmiştir. Mild misspecification parametreleri: L rejimi A=4.0, k=1.8; M rejimi A=5.0, k=1.5 (baz değer); H rejimi A=6.0, k=1.2. Bu parametre konfigürasyonu, yüksek volatilite rejiminde gerçekçi bir likidite daralmasını değil, PPO ajanlarının değişen dolum dinamiklerine karşı dayanıklılığını test etmeye yönelik adversarial bir parametre şokunu temsil etmektedir. Aynı 5-varyant (sigma_only, regime_only, combined, oracle_pure, oracle_full), 20 tohum, 1M timestep eğitim protokolü uygulanmıştır.</w:t>
      </w:r>
    </w:p>
    <w:p>
      <w:r>
        <w:t>Tablo 7. Model Misspecification (Mild) OOS Sonuçları (20 Tohum)</w:t>
      </w:r>
    </w:p>
    <w:tbl>
      <w:tblPr>
        <w:tblStyle w:val="TableGrid"/>
        <w:tblW w:type="auto" w:w="0"/>
        <w:tblLook w:firstColumn="1" w:firstRow="1" w:lastColumn="0" w:lastRow="0" w:noHBand="0" w:noVBand="1" w:val="04A0"/>
      </w:tblPr>
      <w:tblGrid>
        <w:gridCol w:w="4320"/>
        <w:gridCol w:w="4320"/>
      </w:tblGrid>
      <w:tr>
        <w:tc>
          <w:tcPr>
            <w:tcW w:type="dxa" w:w="4320"/>
          </w:tcPr>
          <w:p>
            <w:r>
              <w:rPr>
                <w:b/>
              </w:rPr>
              <w:t>Varyant</w:t>
            </w:r>
          </w:p>
        </w:tc>
        <w:tc>
          <w:tcPr>
            <w:tcW w:type="dxa" w:w="4320"/>
          </w:tcPr>
          <w:p>
            <w:r>
              <w:rPr>
                <w:b/>
              </w:rPr>
              <w:t>Ort. Sharpe</w:t>
            </w:r>
          </w:p>
        </w:tc>
      </w:tr>
      <w:tr>
        <w:tc>
          <w:tcPr>
            <w:tcW w:type="dxa" w:w="4320"/>
          </w:tcPr>
          <w:p>
            <w:r>
              <w:t>ppo_sigma_only</w:t>
            </w:r>
          </w:p>
        </w:tc>
        <w:tc>
          <w:tcPr>
            <w:tcW w:type="dxa" w:w="4320"/>
          </w:tcPr>
          <w:p>
            <w:r>
              <w:t>0.685</w:t>
            </w:r>
          </w:p>
        </w:tc>
      </w:tr>
      <w:tr>
        <w:tc>
          <w:tcPr>
            <w:tcW w:type="dxa" w:w="4320"/>
          </w:tcPr>
          <w:p>
            <w:r>
              <w:t>ppo_oracle_full</w:t>
            </w:r>
          </w:p>
        </w:tc>
        <w:tc>
          <w:tcPr>
            <w:tcW w:type="dxa" w:w="4320"/>
          </w:tcPr>
          <w:p>
            <w:r>
              <w:t>0.682</w:t>
            </w:r>
          </w:p>
        </w:tc>
      </w:tr>
      <w:tr>
        <w:tc>
          <w:tcPr>
            <w:tcW w:type="dxa" w:w="4320"/>
          </w:tcPr>
          <w:p>
            <w:r>
              <w:t>ppo_combined</w:t>
            </w:r>
          </w:p>
        </w:tc>
        <w:tc>
          <w:tcPr>
            <w:tcW w:type="dxa" w:w="4320"/>
          </w:tcPr>
          <w:p>
            <w:r>
              <w:t>0.651</w:t>
            </w:r>
          </w:p>
        </w:tc>
      </w:tr>
      <w:tr>
        <w:tc>
          <w:tcPr>
            <w:tcW w:type="dxa" w:w="4320"/>
          </w:tcPr>
          <w:p>
            <w:r>
              <w:t>ppo_regime_only</w:t>
            </w:r>
          </w:p>
        </w:tc>
        <w:tc>
          <w:tcPr>
            <w:tcW w:type="dxa" w:w="4320"/>
          </w:tcPr>
          <w:p>
            <w:r>
              <w:t>0.634</w:t>
            </w:r>
          </w:p>
        </w:tc>
      </w:tr>
      <w:tr>
        <w:tc>
          <w:tcPr>
            <w:tcW w:type="dxa" w:w="4320"/>
          </w:tcPr>
          <w:p>
            <w:r>
              <w:t>ppo_oracle_pure</w:t>
            </w:r>
          </w:p>
        </w:tc>
        <w:tc>
          <w:tcPr>
            <w:tcW w:type="dxa" w:w="4320"/>
          </w:tcPr>
          <w:p>
            <w:r>
              <w:t>0.602</w:t>
            </w:r>
          </w:p>
        </w:tc>
      </w:tr>
    </w:tbl>
    <w:p>
      <w:r>
        <w:drawing>
          <wp:inline xmlns:a="http://schemas.openxmlformats.org/drawingml/2006/main" xmlns:pic="http://schemas.openxmlformats.org/drawingml/2006/picture">
            <wp:extent cx="5029200" cy="2842591"/>
            <wp:docPr id="9" name="Picture 9"/>
            <wp:cNvGraphicFramePr>
              <a:graphicFrameLocks noChangeAspect="1"/>
            </wp:cNvGraphicFramePr>
            <a:graphic>
              <a:graphicData uri="http://schemas.openxmlformats.org/drawingml/2006/picture">
                <pic:pic>
                  <pic:nvPicPr>
                    <pic:cNvPr id="0" name="fig9_misspec_summary.png"/>
                    <pic:cNvPicPr/>
                  </pic:nvPicPr>
                  <pic:blipFill>
                    <a:blip r:embed="rId17"/>
                    <a:stretch>
                      <a:fillRect/>
                    </a:stretch>
                  </pic:blipFill>
                  <pic:spPr>
                    <a:xfrm>
                      <a:off x="0" y="0"/>
                      <a:ext cx="5029200" cy="2842591"/>
                    </a:xfrm>
                    <a:prstGeom prst="rect"/>
                  </pic:spPr>
                </pic:pic>
              </a:graphicData>
            </a:graphic>
          </wp:inline>
        </w:drawing>
      </w:r>
    </w:p>
    <w:p>
      <w:r>
        <w:t>Şekil 9. Mild model misspecification ortamında PPO varyantlarının Sharpe karşılaştırması (20 tohum, ortalama ± std). Fill parametreleri A ve k rejime bağlı olacak şekilde değiştirilmiştir; sigma_only ile oracle_full arasındaki eşleştirilmiş Sharpe karşılaştırması p = 0.881'dir.</w:t>
      </w:r>
    </w:p>
    <w:p>
      <w:r>
        <w:t>Bu görsel, model misspecification sonucunu özetlemektedir: rejime bağlı A/k altında sigma_only ve oracle_full neredeyse aynı Sharpe düzeyinde kalmaktadır. Bu bulgu yalnızca bu mild misspecification tasarımı için bir robustness sonucu olarak yorumlanmalıdır; tüm piyasa model yanlış belirlemeleri altında evrensel eşdeğerlik iddiası değildir.</w:t>
      </w:r>
    </w:p>
    <w:p>
      <w:r>
        <w:t>Eşleştirilmiş t-testi sonuçları: ppo_sigma_only vs ppo_oracle_full: p=0.881; ppo_sigma_only vs ppo_combined: p=0.217; ppo_sigma_only vs ppo_oracle_pure: p=0.098. Hiçbir karşılaştırma istatistiksel anlamlılık eşiğine ulaşmamıştır.</w:t>
      </w:r>
    </w:p>
    <w:p>
      <w:r>
        <w:t>TOST equivalence test (bounds ±0.05) further confirms practical equivalence under model misspecification (p=0.042). The 90% confidence interval [−0.040, +0.048] — the CI corresponding to the TOST procedure at α=0.05 — lies entirely within the ±0.05 equivalence bound. The wider 95% CI [−0.049, +0.057] remains within the ±0.10 bound. Cohen's d = 0.034 indicates negligible effect size, strengthening the signal redundancy interpretation across both standard and adversarial environments.</w:t>
      </w:r>
    </w:p>
    <w:p>
      <w:r>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pPr>
        <w:pStyle w:val="Heading2"/>
      </w:pPr>
      <w:r>
        <w:t>4.9 Manipülasyon Geçerlilik Denetimi</w:t>
      </w:r>
    </w:p>
    <w:p>
      <w:r>
        <w:t>Motivasyon: PPO ajanlarının eğitiminde kullanılan gözlem uzayı sigma_hat ve rejim one-hot bileşenlerini içermektedir. Null sonucu savunulur kılmanın gerekli koşullarından biri, bu sinyallerin taşıdığı bilginin gerçekten ajanın kullanabileceği yapıda olduğunun — ve sinyal kalitesi düşürüldüğünde metriklerin beklendiği gibi bozulduğunun — gösterilmesidir. Aksi hâlde 'rejim etiketi faydasız' ifadesi, etiketin öznitelik olarak hiç bilgi taşımadığı trivial durumdan ayırt edilemez. Bu bölüm, rejim sinyali üzerine uygulanan kontrollü manipülasyonların regresyon/sınıflandırma metriklerinde beklenen etkiyi ürettiğini raporlar.</w:t>
      </w:r>
    </w:p>
    <w:p>
      <w:r>
        <w:t>Yöntem: Kanonik operating point (dt = 0.2, sigma_mid_ticks = 0.8, sigma_mult = [0.6, 1.0, 1.8], warmup_steps = 1000, rv_window = 50, n_steps = 8000, tohum = 123) altında tek bir epizot üretilir. Rolling realized volatility serisi üzerinde beş koşul uygulanır: clean (manipülasyon yok), noisy (noise_std = 0.5 × clean_sigma_std, yani 0.09 civarı), lagged (5 adım gecikme), coarsened (5 kuantil kovasına indirgeme, kova ortalamasıyla değiştirme) ve none (sabit fill_value = 0.0). Her koşul için sigma_hat ile regime_true arasındaki Spearman/Pearson korelasyonu, rejim sınıflandırma doğruluğu, ayrışabilirlik (Fisher benzeri skor) ve threshold overlap oranı hesaplanır. Audit iş paketinin kaynak dosyaları: config/w55_audit.json, src/wp5_5/job_w55_audit.py, src/wp5_5/signal_degradation.py, src/wp5_5/signal_audit.py.</w:t>
      </w:r>
    </w:p>
    <w:p>
      <w:r>
        <w:t>Yapısal metrik politikası: 'none' koşulu sabit bir fill değeriyle çalıştığı için classification_accuracy ve threshold_overlap metrikleri bu koşulda yapısal olarak tanımsızdır — değerler sinyal bilgi içeriğini değil, fill değeri ile kalibre edilmiş eşikler arasındaki ilişkiyi yansıtır. Bu iki metrik 'none' koşulunda raporlanmaya devam eder ancak PASS/FAIL değerlendirmesinden çıkarılmıştır (reported-but-not-gated).</w:t>
      </w:r>
    </w:p>
    <w:p>
      <w:r>
        <w:t>Tablo 8. WP5.5 Sinyal Denetim Metrikleri (kanonik operating point, tohum = 123)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Koşul</w:t>
            </w:r>
          </w:p>
        </w:tc>
        <w:tc>
          <w:tcPr>
            <w:tcW w:type="dxa" w:w="1440"/>
          </w:tcPr>
          <w:p>
            <w:r>
              <w:rPr>
                <w:b/>
              </w:rPr>
              <w:t>Spearman</w:t>
            </w:r>
          </w:p>
        </w:tc>
        <w:tc>
          <w:tcPr>
            <w:tcW w:type="dxa" w:w="1440"/>
          </w:tcPr>
          <w:p>
            <w:r>
              <w:rPr>
                <w:b/>
              </w:rPr>
              <w:t>Pearson</w:t>
            </w:r>
          </w:p>
        </w:tc>
        <w:tc>
          <w:tcPr>
            <w:tcW w:type="dxa" w:w="1440"/>
          </w:tcPr>
          <w:p>
            <w:r>
              <w:rPr>
                <w:b/>
              </w:rPr>
              <w:t>Clas. Acc.</w:t>
            </w:r>
          </w:p>
        </w:tc>
        <w:tc>
          <w:tcPr>
            <w:tcW w:type="dxa" w:w="1440"/>
          </w:tcPr>
          <w:p>
            <w:r>
              <w:rPr>
                <w:b/>
              </w:rPr>
              <w:t>Ayrışab.</w:t>
            </w:r>
          </w:p>
        </w:tc>
        <w:tc>
          <w:tcPr>
            <w:tcW w:type="dxa" w:w="1440"/>
          </w:tcPr>
          <w:p>
            <w:r>
              <w:rPr>
                <w:b/>
              </w:rPr>
              <w:t>Thr. Overlap</w:t>
            </w:r>
          </w:p>
        </w:tc>
      </w:tr>
      <w:tr>
        <w:tc>
          <w:tcPr>
            <w:tcW w:type="dxa" w:w="1440"/>
          </w:tcPr>
          <w:p>
            <w:r>
              <w:t>clean</w:t>
            </w:r>
          </w:p>
        </w:tc>
        <w:tc>
          <w:tcPr>
            <w:tcW w:type="dxa" w:w="1440"/>
          </w:tcPr>
          <w:p>
            <w:r>
              <w:t>1.000</w:t>
            </w:r>
          </w:p>
        </w:tc>
        <w:tc>
          <w:tcPr>
            <w:tcW w:type="dxa" w:w="1440"/>
          </w:tcPr>
          <w:p>
            <w:r>
              <w:t>1.000</w:t>
            </w:r>
          </w:p>
        </w:tc>
        <w:tc>
          <w:tcPr>
            <w:tcW w:type="dxa" w:w="1440"/>
          </w:tcPr>
          <w:p>
            <w:r>
              <w:t>0.400</w:t>
            </w:r>
          </w:p>
        </w:tc>
        <w:tc>
          <w:tcPr>
            <w:tcW w:type="dxa" w:w="1440"/>
          </w:tcPr>
          <w:p>
            <w:r>
              <w:t>5093.3</w:t>
            </w:r>
          </w:p>
        </w:tc>
        <w:tc>
          <w:tcPr>
            <w:tcW w:type="dxa" w:w="1440"/>
          </w:tcPr>
          <w:p>
            <w:r>
              <w:t>0.300</w:t>
            </w:r>
          </w:p>
        </w:tc>
      </w:tr>
      <w:tr>
        <w:tc>
          <w:tcPr>
            <w:tcW w:type="dxa" w:w="1440"/>
          </w:tcPr>
          <w:p>
            <w:r>
              <w:t>noisy</w:t>
            </w:r>
          </w:p>
        </w:tc>
        <w:tc>
          <w:tcPr>
            <w:tcW w:type="dxa" w:w="1440"/>
          </w:tcPr>
          <w:p>
            <w:r>
              <w:t>0.820</w:t>
            </w:r>
          </w:p>
        </w:tc>
        <w:tc>
          <w:tcPr>
            <w:tcW w:type="dxa" w:w="1440"/>
          </w:tcPr>
          <w:p>
            <w:r>
              <w:t>0.894</w:t>
            </w:r>
          </w:p>
        </w:tc>
        <w:tc>
          <w:tcPr>
            <w:tcW w:type="dxa" w:w="1440"/>
          </w:tcPr>
          <w:p>
            <w:r>
              <w:t>0.518</w:t>
            </w:r>
          </w:p>
        </w:tc>
        <w:tc>
          <w:tcPr>
            <w:tcW w:type="dxa" w:w="1440"/>
          </w:tcPr>
          <w:p>
            <w:r>
              <w:t>4274.3</w:t>
            </w:r>
          </w:p>
        </w:tc>
        <w:tc>
          <w:tcPr>
            <w:tcW w:type="dxa" w:w="1440"/>
          </w:tcPr>
          <w:p>
            <w:r>
              <w:t>0.103</w:t>
            </w:r>
          </w:p>
        </w:tc>
      </w:tr>
      <w:tr>
        <w:tc>
          <w:tcPr>
            <w:tcW w:type="dxa" w:w="1440"/>
          </w:tcPr>
          <w:p>
            <w:r>
              <w:t>lagged</w:t>
            </w:r>
          </w:p>
        </w:tc>
        <w:tc>
          <w:tcPr>
            <w:tcW w:type="dxa" w:w="1440"/>
          </w:tcPr>
          <w:p>
            <w:r>
              <w:t>0.977</w:t>
            </w:r>
          </w:p>
        </w:tc>
        <w:tc>
          <w:tcPr>
            <w:tcW w:type="dxa" w:w="1440"/>
          </w:tcPr>
          <w:p>
            <w:r>
              <w:t>0.991</w:t>
            </w:r>
          </w:p>
        </w:tc>
        <w:tc>
          <w:tcPr>
            <w:tcW w:type="dxa" w:w="1440"/>
          </w:tcPr>
          <w:p>
            <w:r>
              <w:t>0.398</w:t>
            </w:r>
          </w:p>
        </w:tc>
        <w:tc>
          <w:tcPr>
            <w:tcW w:type="dxa" w:w="1440"/>
          </w:tcPr>
          <w:p>
            <w:r>
              <w:t>4856.8</w:t>
            </w:r>
          </w:p>
        </w:tc>
        <w:tc>
          <w:tcPr>
            <w:tcW w:type="dxa" w:w="1440"/>
          </w:tcPr>
          <w:p>
            <w:r>
              <w:t>0.300</w:t>
            </w:r>
          </w:p>
        </w:tc>
      </w:tr>
      <w:tr>
        <w:tc>
          <w:tcPr>
            <w:tcW w:type="dxa" w:w="1440"/>
          </w:tcPr>
          <w:p>
            <w:r>
              <w:t>coarsened</w:t>
            </w:r>
          </w:p>
        </w:tc>
        <w:tc>
          <w:tcPr>
            <w:tcW w:type="dxa" w:w="1440"/>
          </w:tcPr>
          <w:p>
            <w:r>
              <w:t>0.940</w:t>
            </w:r>
          </w:p>
        </w:tc>
        <w:tc>
          <w:tcPr>
            <w:tcW w:type="dxa" w:w="1440"/>
          </w:tcPr>
          <w:p>
            <w:r>
              <w:t>0.877</w:t>
            </w:r>
          </w:p>
        </w:tc>
        <w:tc>
          <w:tcPr>
            <w:tcW w:type="dxa" w:w="1440"/>
          </w:tcPr>
          <w:p>
            <w:r>
              <w:t>0.391</w:t>
            </w:r>
          </w:p>
        </w:tc>
        <w:tc>
          <w:tcPr>
            <w:tcW w:type="dxa" w:w="1440"/>
          </w:tcPr>
          <w:p>
            <w:r>
              <w:t>5114.1</w:t>
            </w:r>
          </w:p>
        </w:tc>
        <w:tc>
          <w:tcPr>
            <w:tcW w:type="dxa" w:w="1440"/>
          </w:tcPr>
          <w:p>
            <w:r>
              <w:t>0.374</w:t>
            </w:r>
          </w:p>
        </w:tc>
      </w:tr>
      <w:tr>
        <w:tc>
          <w:tcPr>
            <w:tcW w:type="dxa" w:w="1440"/>
          </w:tcPr>
          <w:p>
            <w:r>
              <w:t>none</w:t>
            </w:r>
          </w:p>
        </w:tc>
        <w:tc>
          <w:tcPr>
            <w:tcW w:type="dxa" w:w="1440"/>
          </w:tcPr>
          <w:p>
            <w:r>
              <w:t>0.000</w:t>
            </w:r>
          </w:p>
        </w:tc>
        <w:tc>
          <w:tcPr>
            <w:tcW w:type="dxa" w:w="1440"/>
          </w:tcPr>
          <w:p>
            <w:r>
              <w:t>0.000</w:t>
            </w:r>
          </w:p>
        </w:tc>
        <w:tc>
          <w:tcPr>
            <w:tcW w:type="dxa" w:w="1440"/>
          </w:tcPr>
          <w:p>
            <w:r>
              <w:t>0.548</w:t>
            </w:r>
          </w:p>
        </w:tc>
        <w:tc>
          <w:tcPr>
            <w:tcW w:type="dxa" w:w="1440"/>
          </w:tcPr>
          <w:p>
            <w:r>
              <w:t>0.000</w:t>
            </w:r>
          </w:p>
        </w:tc>
        <w:tc>
          <w:tcPr>
            <w:tcW w:type="dxa" w:w="1440"/>
          </w:tcPr>
          <w:p>
            <w:r>
              <w:t>0.000</w:t>
            </w:r>
          </w:p>
        </w:tc>
      </w:tr>
    </w:tbl>
    <w:p>
      <w:r>
        <w:t>Bulgular: (i) Direction — clean sinyali 'none' baseline'ına karşı Spearman, Pearson ve ayrışabilirlik boyutlarında PASS vermektedir; yapısal olarak tanımsız iki metrik (classification_accuracy ve threshold_overlap) 'none' koşulunda gate dışında bırakılmıştır. (ii) Separation — noisy, lagged ve coarsened koşullarının tümü clean baseline'ından belirgin biçimde sapmakta, yani rejim etiketine uygulanan kontrollü bozulumlar ölçülebilir etki üretmektedir. (iii) Coarsen safety — 5 kovalı ayrıklaştırma, metriklerin üzerinde yıkıcı bir bilgi kaybı yaratmamaktadır. (iv) Monotonicity — 'clean → noisy → lagged → coarsened → none' dizisi boyunca ölçütler yekpare (monotone) bir şiddet eğrisine oturmamaktadır (non-monotone FAIL). Bu sonuç, tek bir sıralama ekseni boyunca artan bozulmadan kaynaklanan yapısal bir başarısızlık değildir; üç degradasyon (gürültü, gecikme, kuantizasyon) sinyal yapısına farklı boyutlarda saldırdığı için ortak bir şiddet ölçütüne indirgenmeleri ölçüt tasarımı düzeyinde tartışmaya açıktır.</w:t>
      </w:r>
    </w:p>
    <w:p>
      <w:r>
        <w:t>Yorum: Denetim, rejim sinyaline dokunan kontrollü manipülasyonların beklenen yönde ölçülebilir etki ürettiğini göstermektedir (direction PASS, separation PASS, coarsen safety PASS). Bu, sinyalin faydasız değil, *taşıdığı bilgi sigma_hat tarafından zaten yansıtıldığı için* RL performansına marjinal katkı sağladığı şeklindeki null-result yorumuyla tutarlıdır. Monotonicity FAIL'i, ayrı tipteki bozulumların tek bir şiddet ekseninde karşılaştırılmasına dair bir ölçüt tasarımı uyarısı olarak okunmalıdır; WP5.5 run'ın genel önerisi bu nedenle REVIEW düzeyindedir. Audit çıktıları: results/runs/20260422-170037_seed123_wp55-signal-audit_66fc17e/.</w:t>
      </w:r>
    </w:p>
    <w:p>
      <w:r>
        <w:t>Reproducibility notu: config dosyasında noise_std alanı 'auto' değerine ayarlıdır; audit iş paketi koşu sırasında gürültü standart sapmasını 0.5 × clean_sigma_std (post-warmup) olarak hesaplar. Bu sayede gürültü seviyesi her zaman kanonik sinyal ölçeğine göre sabit oranda kalır ve operating point'e dair güncellemelere otomatik olarak adapte olur. WP5.5 öncesinde yapılan iki drift'li koşu (20260419-214718, 20260419-221930) süpersed edilmiş ve 'results/runs/wp55_audit_archive_note.md' altında arşivlenmiştir.</w:t>
      </w:r>
    </w:p>
    <w:p>
      <w:pPr>
        <w:pStyle w:val="Heading1"/>
      </w:pPr>
      <w:r>
        <w:t>5.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Sharpe bazında istatistiksel olarak anlamlı fark gözlemlenmemiştir (paired t-test p = 0.261); equity metriğinde ppo_blind lehine anlamlı fark mevcuttur (p = 0.023). Bu null sonuç, gözlem uzayında hali hazırda bulunan σ̂_t'nin rejim bilgisini örtük olarak içermesiyle açıklanmaktadır.</w:t>
      </w:r>
    </w:p>
    <w:p>
      <w:r>
        <w:t>Bulgu 3 — Pure Ablation (Sinyal Yedekliliği Testi): ppo_sigma_only en yüksek performansı elde etmiştir — mükemmel rejim etiketlerine sahip oracle_full ajanı dahi sigma_only'yi Sharpe bazında istatistiksel olarak anlamlı biçimde geçememiştir (p = 0.115). Bonferroni-düzeltilmiş eşik altında equity farkı da istatistiksel olarak anlamlı kabul edilmemiştir.</w:t>
      </w:r>
    </w:p>
    <w:p>
      <w:r>
        <w:t>Bulgu 4 — Dedektör Bağımsızlığı: Null sonuç, %60.4'ten %81.8'e kadar üç farklı dedektör performansında tutarlı biçimde korunmuştur (ANOVA: F = 0.003, p = 0.997).</w:t>
      </w:r>
    </w:p>
    <w:p>
      <w:r>
        <w:t>Bulgu 5 — Rejime Koşullu Envanter Cezası: Basit rejime koşullu envanter cezası (ηH = 5×ηL), explicit rejim bilgisini faydalı hale getirmemiştir; sigma_only varyantı istatistiksel olarak anlamlı biçimde güçlü kalmıştır (p = 0.0016).</w:t>
      </w:r>
    </w:p>
    <w:p>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pPr>
        <w:pStyle w:val="Heading2"/>
      </w:pPr>
      <w:r>
        <w:t>Gelecek Çalışmalar</w:t>
      </w:r>
    </w:p>
    <w:p>
      <w:pPr>
        <w:pStyle w:val="ListParagraph"/>
      </w:pPr>
      <w:r>
        <w:t>(1) Basit rejime koşullu envanter cezası denendi ve fayda sağlamadı; daha zengin rejime koşullu ödül tasarımları gelecekte incelenebilir.</w:t>
      </w:r>
    </w:p>
    <w:p>
      <w:pPr>
        <w:pStyle w:val="ListParagraph"/>
      </w:pPr>
      <w:r>
        <w:t>(2) Model misspecification strong variant — daha sert parametre farklılaşması (L: A=3.0/k=2.0, H: A=8.0/k=1.0) ile robustness testinin genişletilmesi.</w:t>
      </w:r>
    </w:p>
    <w:p>
      <w:pPr>
        <w:pStyle w:val="ListParagraph"/>
      </w:pPr>
      <w:r>
        <w:t>(3) Paper yayını: iyi nitelendirilmiş null result ile kontrollü RL vs. klasik piyasa yapıcılığı kıyaslaması.</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src/wp5/figure_thesis_23.py</w:t>
            </w:r>
          </w:p>
        </w:tc>
        <w:tc>
          <w:tcPr>
            <w:tcW w:type="dxa" w:w="4320"/>
          </w:tcPr>
          <w:p>
            <w:r>
              <w:t>Model misspecification ve eta-regime ek figürlerinin üretimi (legacy dosya adı korunmuştur)</w:t>
            </w:r>
          </w:p>
        </w:tc>
      </w:tr>
      <w:tr>
        <w:tc>
          <w:tcPr>
            <w:tcW w:type="dxa" w:w="4320"/>
          </w:tcPr>
          <w:p>
            <w:r>
              <w:t>src/wp5/stats_detector_robustness.py</w:t>
            </w:r>
          </w:p>
        </w:tc>
        <w:tc>
          <w:tcPr>
            <w:tcW w:type="dxa" w:w="4320"/>
          </w:tcPr>
          <w:p>
            <w:r>
              <w:t>İstatistiksel testler (paired t-test ve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p>
      <w:pPr>
        <w:pStyle w:val="Heading1"/>
      </w:pPr>
      <w:r>
        <w:t>⚠ WIP — REMOVE BEFORE SUBMISSION — Appendix Z: Work in Progress</w:t>
      </w:r>
    </w:p>
    <w:p>
      <w:r>
        <w:t>⚠ UYARI: Bu bölüm tez teslim edilmeden önce kaldırılmalıdır. Aşağıdaki notlar, yazım süreci devam ederken açık kalan aksiyon maddelerini ve sürmekte olan WP5.5 çalışmasının durumunu derler.</w:t>
      </w:r>
    </w:p>
    <w:p>
      <w:r>
        <w:t>Açık iş maddeleri ve notlar:</w:t>
      </w:r>
    </w:p>
    <w:p>
      <w:pPr>
        <w:pStyle w:val="ListParagraph"/>
      </w:pPr>
      <w:r>
        <w:t>(1) WP5.5 — Manipülasyon Geçerlilik Denetimi: §4.9'da raporlanan audit, kanonik operating point altında yeniden koşulmuştur (run ID: 20260422-170037_seed123_wp55-signal-audit_66fc17e); direction, separation ve coarsen_safety PASS, monotonicity FAIL, genel öneri REVIEW. Monotonicity değerlendirme ekseninin yeniden tasarlanması gelecek çalışma listesine alınmıştır.</w:t>
      </w:r>
    </w:p>
    <w:p>
      <w:pPr>
        <w:pStyle w:val="ListParagraph"/>
      </w:pPr>
      <w:r>
        <w:t>(2) Misspec-mild ortam farkı: §4.8'de raporlanan misspec-mild deneyleri sigma_mult = [0.5, 1.0, 2.0] / warmup = 400 ile yürütülmüştür; kanonik ortam [0.6, 1.0, 1.8] / warmup = 1000. Yeniden üretim gerçekleştirilmedi; §4.8'e retrospektif ortam uyarısı paragrafı eklenmiştir (bkz. Decisions Log #42, #45).</w:t>
      </w:r>
    </w:p>
    <w:p>
      <w:pPr>
        <w:pStyle w:val="ListParagraph"/>
      </w:pPr>
      <w:r>
        <w:t>(3) Canonical operating point kaydı: dt = 0.2, sigma_mid_ticks = 0.8, sigma_mult = [0.6, 1.0, 1.8], warmup_steps = 1000, rv_window = 50, n_steps = 8000, exec = {A=5.0, k=1.5, fee_bps=0.2, latency_steps=1}, 3×3 sticky trans_matrix. Yeni ilave deneyler bu referansı kullanmalıdır.</w:t>
      </w:r>
    </w:p>
    <w:p>
      <w:pPr>
        <w:pStyle w:val="ListParagraph"/>
      </w:pPr>
      <w:r>
        <w:t>(4) Teslim öncesi kontrol listesi: (a) bu Appendix Z bölümünü kaldır, (b) kapak sayfasındaki 'Sürüm 26' işaretçisini nihai sürüm numarasıyla değiştir, (c) WP5.5 audit tablosunda (Tablo 8) değerlerin en güncel audit_summary.md ile eşleştiğini doğrula.</w:t>
      </w:r>
    </w:p>
    <w:p>
      <w:r>
        <w:t>Bu bölüm bilinçli olarak görünür bir başlıkla işaretlenmiştir; otomatik inceleme yapan okuyucuların (Codex denetimi dahil) bölümü yanlışlıkla atlamaması için başlık 'REMOVE BEFORE SUBMISSION' ifadesini içerir.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