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Nisan 2026 — Sürüm 27</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yalnızca istatistiksel olarak desteklenmemekle kalmamış; ppo_sigma_only ile ppo_oracle_full'un Sharpe performansları TOST eşdeğerlik testi ile pratik olarak eşdeğer bulunmuştur (TOST p&lt;0.05, ±0.10 sınır).</w:t>
      </w:r>
    </w:p>
    <w:p>
      <w:r>
        <w:t>Ana Bulgu (Ablasyon): oracle_full ajanı (sigma + regime_true), mükemmel rejim etiketlerine sahip olmasına karşın ppo_sigma_only'yi istatistiksel olarak anlamlı biçimde geçememiştir (Sharpe: 0.753 vs 0.722, p = 0.115).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Sinyal informativeness sweep'i (WP6), kategorik regime label'larının sigma_hat sürekli sinyali zayıfladığında dahi performansı iyileştirmediğini, hatta birlikte kullanıldığında yönsel olarak düşürdüğünü göstermiştir.</w:t>
      </w:r>
    </w:p>
    <w:p>
      <w:r>
        <w:t>Anahtar kelimeler: piyasa yapıcılığı, pekiştirmeli öğrenme, PPO, volatilite rejimleri, Avellaneda-Stoikov, ablasyon, oracle agent, sinyal yedekliliği,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r>
        <w:t>Not: rv_dwell offline bir dwell smoothing kullanır ve etiket kararı verilirken sınırlı bir ileri tarama içerir (en fazla min_dwell adım); bu nedenle rv_dwell doğruluk değeri kausal bir üst sınır olarak okunmalıdır. Bu sınırlama yalnızca §3.3 ve §4.6'da raporlanan rv_dwell metriklerini etkiler; tezde raporlanan tüm ana boru hatları — WP4 pilot, WP5 OOS değerlendirmesi ve WP6 sweep — kausal rv_baseline detector'ı kullandığından, Bulgu 1-7 bu sınırlamadan etkilenmemiştir.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 Tezde raporlanan tüm PPO performans değerleri, kronolojik 70/30 eğitim/test bölünmesi (n_train=5600, n_test=2400) ile çalışan WP5 OOS değerlendirme boru hattından (src/wp5/job_w5_eval.py) elde edilmiştir. WP4 yalnızca PPO eğitim altyapısı için bir pilot olarak hizmet etmiştir ve raporlanan sonuçların kaynağı değildir.</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Sharpe bazında istatistiksel olarak anlamlı fark gözlemlenmemiştir (paired t-test p = 0.261); ancak equity metriğinde ppo_blind lehine anlamlı fark mevcuttur (p = 0.023). Bu çalışmada risk-adjusted performans ölçütü olarak Sharpe oranı esas alınmaktadır.</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197090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197090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271757"/>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271757"/>
                    </a:xfrm>
                    <a:prstGeom prst="rect"/>
                  </pic:spPr>
                </pic:pic>
              </a:graphicData>
            </a:graphic>
          </wp:inline>
        </w:drawing>
      </w:r>
    </w:p>
    <w:p>
      <w:r>
        <w:t>Şekil 2. Seed bazında PPO-aware ve PPO-blind karşılaştırması (her nokta bir seed, n=20). Kesikli çizgi y=x referansıdır. Sol: Sharpe (paired t-test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br w:type="page"/>
      </w:r>
    </w:p>
    <w:p>
      <w:r>
        <w:drawing>
          <wp:inline xmlns:a="http://schemas.openxmlformats.org/drawingml/2006/main" xmlns:pic="http://schemas.openxmlformats.org/drawingml/2006/picture">
            <wp:extent cx="5029200" cy="156457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1"/>
                    <a:stretch>
                      <a:fillRect/>
                    </a:stretch>
                  </pic:blipFill>
                  <pic:spPr>
                    <a:xfrm>
                      <a:off x="0" y="0"/>
                      <a:ext cx="5029200" cy="1564577"/>
                    </a:xfrm>
                    <a:prstGeom prst="rect"/>
                  </pic:spPr>
                </pic:pic>
              </a:graphicData>
            </a:graphic>
          </wp:inline>
        </w:drawing>
      </w:r>
    </w:p>
    <w:p>
      <w:r>
        <w:t>Şekil 3. Beş PPO varyantı için pure ablation özeti (20 tohum, ortalama ± std). Sol panel Sharpe, orta panel final equity, sağ panel inv_p99 değerlerini göstermektedir. AS ve naive referansları bu görsele dahil edilmemiştir; amaç explicit rejim etiketi, oracle rejim etiketi ve sigma_hat sinyalinin marjinal katkısını PPO varyantları içinde doğrudan karşılaştırmaktır.</w:t>
      </w:r>
    </w:p>
    <w:p>
      <w:r>
        <w:t>Bu görsel, Tablo 2'deki ana örüntüyü özetlemektedir: sigma_only en yüksek Sharpe ortalamasına sahiptir ve oracle_full ya da combined varyantlarının üzerinde anlamlı bir iyileşme gözlenmemektedir. Bu desen, explicit rejim etiketinin sigma_hat üzerinde ek risk-adjusted bilgi taşımadığı yönündeki signal redundancy yorumuyla uyumludur.</w:t>
      </w:r>
    </w:p>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12 karşılaştırmanın eşleştirilmiş t-testi sonuçlarını göstermektedir (n=20 seed, Bonferroni düzeltmesi: α = 0.01/12 = 0.00083).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AS</w:t>
            </w:r>
          </w:p>
        </w:tc>
        <w:tc>
          <w:tcPr>
            <w:tcW w:type="dxa" w:w="1440"/>
          </w:tcPr>
          <w:p>
            <w:r>
              <w:t>final_equity</w:t>
            </w:r>
          </w:p>
        </w:tc>
        <w:tc>
          <w:tcPr>
            <w:tcW w:type="dxa" w:w="1440"/>
          </w:tcPr>
          <w:p>
            <w:r>
              <w:t>-1.064</w:t>
            </w:r>
          </w:p>
        </w:tc>
        <w:tc>
          <w:tcPr>
            <w:tcW w:type="dxa" w:w="1440"/>
          </w:tcPr>
          <w:p>
            <w:r>
              <w:t>3.01e-01</w:t>
            </w:r>
          </w:p>
        </w:tc>
        <w:tc>
          <w:tcPr>
            <w:tcW w:type="dxa" w:w="1440"/>
          </w:tcPr>
          <w:p>
            <w:r>
              <w:t>-0.238</w:t>
            </w:r>
          </w:p>
        </w:tc>
        <w:tc>
          <w:tcPr>
            <w:tcW w:type="dxa" w:w="1440"/>
          </w:tcPr>
          <w:p>
            <w:r>
              <w:t>Hayır</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r>
        <w:tc>
          <w:tcPr>
            <w:tcW w:type="dxa" w:w="1440"/>
          </w:tcPr>
          <w:p>
            <w:r>
              <w:t>combined vs naive</w:t>
            </w:r>
          </w:p>
        </w:tc>
        <w:tc>
          <w:tcPr>
            <w:tcW w:type="dxa" w:w="1440"/>
          </w:tcPr>
          <w:p>
            <w:r>
              <w:t>final_equity</w:t>
            </w:r>
          </w:p>
        </w:tc>
        <w:tc>
          <w:tcPr>
            <w:tcW w:type="dxa" w:w="1440"/>
          </w:tcPr>
          <w:p>
            <w:r>
              <w:t>-0.728</w:t>
            </w:r>
          </w:p>
        </w:tc>
        <w:tc>
          <w:tcPr>
            <w:tcW w:type="dxa" w:w="1440"/>
          </w:tcPr>
          <w:p>
            <w:r>
              <w:t>4.76e-01</w:t>
            </w:r>
          </w:p>
        </w:tc>
        <w:tc>
          <w:tcPr>
            <w:tcW w:type="dxa" w:w="1440"/>
          </w:tcPr>
          <w:p>
            <w:r>
              <w:t>-0.163</w:t>
            </w:r>
          </w:p>
        </w:tc>
        <w:tc>
          <w:tcPr>
            <w:tcW w:type="dxa" w:w="1440"/>
          </w:tcPr>
          <w:p>
            <w:r>
              <w:t>Hayır</w:t>
            </w:r>
          </w:p>
        </w:tc>
      </w:tr>
    </w:tbl>
    <w:p>
      <w:r>
        <w:t>Oracle Paradoksu Özeti: oracle_full vs combined farkı Sharpe'ta p = 0.301, equity'de p = 0.360 — istatistiksel olarak hiçbir anlamlılık yok. Mükemmel etiket, tahmini etiketten ayırt edilemez.</w:t>
      </w:r>
    </w:p>
    <w:p>
      <w:r>
        <w:t>TOST equivalence test (bounds ±0.10) confirms practical equivalence between ppo_sigma_only and ppo_oracle_full (p=0.00067). The 90% confidence interval for the Sharpe difference is [−0.001, +0.063] — this is the CI that corresponds to the TOST procedure at α=0.05 and it lies entirely within the ±0.10 equivalence bound. The wider 95% CI [−0.008, +0.069] is also contained within the bound. This provides positive evidence that the performance difference is practically negligible, not merely statistically inconclusive.</w:t>
      </w:r>
    </w:p>
    <w:p>
      <w:r>
        <w:drawing>
          <wp:inline xmlns:a="http://schemas.openxmlformats.org/drawingml/2006/main" xmlns:pic="http://schemas.openxmlformats.org/drawingml/2006/picture">
            <wp:extent cx="5029200" cy="2402582"/>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2"/>
                    <a:stretch>
                      <a:fillRect/>
                    </a:stretch>
                  </pic:blipFill>
                  <pic:spPr>
                    <a:xfrm>
                      <a:off x="0" y="0"/>
                      <a:ext cx="5029200" cy="2402582"/>
                    </a:xfrm>
                    <a:prstGeom prst="rect"/>
                  </pic:spPr>
                </pic:pic>
              </a:graphicData>
            </a:graphic>
          </wp:inline>
        </w:drawing>
      </w:r>
    </w:p>
    <w:p>
      <w:r>
        <w:t>Şekil 4. Oracle paradoksunun seed bazında görselleştirilmesi. Sol panel doğrudan karşılaştırmayı gösterir: ppo_sigma_only ile ppo_oracle_full Sharpe değerleri aynı test seed'leri üzerinde eşleştirilmiştir (paired t-test p = 0.115). Sağ panel oracle_full ile combined varyantlarını karşılaştırır (p = 0.301). Kesikli çizgi y=x referansıdır.</w:t>
      </w:r>
    </w:p>
    <w:p>
      <w:r>
        <w:t>Bu şeklin birincil yorumu sol paneldir: mükemmel rejim etiketlerine sahip oracle_full, sigma_only varyantını Sharpe bazında istatistiksel olarak anlamlı biçimde geçememektedir. Dolayısıyla oracle varyantı, dedektör gürültüsü eleştirisini sınırlayan güçlü bir üst-sınır testi sunar; ancak p=0.115 sonucu, kanıtı deterministik bir eşdeğerlik iddiası olarak değil, anlamlı üstünlük bulunmaması olarak yorumlanmalıdır.</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5_action_analysis.png"/>
                    <pic:cNvPicPr/>
                  </pic:nvPicPr>
                  <pic:blipFill>
                    <a:blip r:embed="rId13"/>
                    <a:stretch>
                      <a:fillRect/>
                    </a:stretch>
                  </pic:blipFill>
                  <pic:spPr>
                    <a:xfrm>
                      <a:off x="0" y="0"/>
                      <a:ext cx="5029200" cy="3017520"/>
                    </a:xfrm>
                    <a:prstGeom prst="rect"/>
                  </pic:spPr>
                </pic:pic>
              </a:graphicData>
            </a:graphic>
          </wp:inline>
        </w:drawing>
      </w:r>
    </w:p>
    <w:p>
      <w:r>
        <w:t>Şekil 5.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1970903"/>
            <wp:docPr id="6" name="Picture 6"/>
            <wp:cNvGraphicFramePr>
              <a:graphicFrameLocks noChangeAspect="1"/>
            </wp:cNvGraphicFramePr>
            <a:graphic>
              <a:graphicData uri="http://schemas.openxmlformats.org/drawingml/2006/picture">
                <pic:pic>
                  <pic:nvPicPr>
                    <pic:cNvPr id="0" name="fig3_regime_sharpe.png"/>
                    <pic:cNvPicPr/>
                  </pic:nvPicPr>
                  <pic:blipFill>
                    <a:blip r:embed="rId14"/>
                    <a:stretch>
                      <a:fillRect/>
                    </a:stretch>
                  </pic:blipFill>
                  <pic:spPr>
                    <a:xfrm>
                      <a:off x="0" y="0"/>
                      <a:ext cx="5029200" cy="1970903"/>
                    </a:xfrm>
                    <a:prstGeom prst="rect"/>
                  </pic:spPr>
                </pic:pic>
              </a:graphicData>
            </a:graphic>
          </wp:inline>
        </w:drawing>
      </w:r>
    </w:p>
    <w:p>
      <w:r>
        <w:t>Şekil 6.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111285"/>
            <wp:docPr id="7" name="Picture 7"/>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029200" cy="3111285"/>
                    </a:xfrm>
                    <a:prstGeom prst="rect"/>
                  </pic:spPr>
                </pic:pic>
              </a:graphicData>
            </a:graphic>
          </wp:inline>
        </w:drawing>
      </w:r>
    </w:p>
    <w:p>
      <w:r>
        <w:t>Şekil 7. Dedektör bazında ortalama Sharpe (20 tohum). PPO-blind Sharpe değeri tüm dedektörlerde 0.753 olarak sabit kalmakta; PPO-aware ise dedektör seçiminden bağımsız olarak ~0.717-0.719 düzeyinde seyretmektedir.</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beş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drawing>
          <wp:inline xmlns:a="http://schemas.openxmlformats.org/drawingml/2006/main" xmlns:pic="http://schemas.openxmlformats.org/drawingml/2006/picture">
            <wp:extent cx="5029200" cy="2090791"/>
            <wp:docPr id="8" name="Picture 8"/>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029200" cy="2090791"/>
                    </a:xfrm>
                    <a:prstGeom prst="rect"/>
                  </pic:spPr>
                </pic:pic>
              </a:graphicData>
            </a:graphic>
          </wp:inline>
        </w:drawing>
      </w:r>
    </w:p>
    <w:p>
      <w:r>
        <w:t>Şekil 8. Rejime koşullu envanter cezası deneyinde PPO varyantlarının Sharpe ve final equity sonuçları (20 tohum, ortalama ± std). Görsel, sigma_only ile combined varyantları arasındaki eşleştirilmiş karşılaştırmayı özellikle vurgular: Sharpe için p = 0.0016, final equity için p = 0.008.</w:t>
      </w:r>
    </w:p>
    <w:p>
      <w:r>
        <w:t>Bu görsel, rejime koşullu ödül tasarımının explicit rejim etiketini faydalı hale getirmediğini göstermektedir. combined varyantı hem sigma_hat hem tahmini rejim etiketini gözlemlerken, sigma_only Sharpe bazında istatistiksel olarak daha güçlü kalmaktadır. Bu sonuç ödül kanalı üzerinden yapılan rejim hassaslaştırmasının signal redundancy yorumunu ortadan kaldırmadığını destekler.</w:t>
      </w:r>
    </w:p>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4.8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Ortam uyarısı (retrospektif not): Bu misspec-mild deneyleri tez yazım sürecinin erken bir aşamasında yürütüldüğünden, rejim parametreleri §3.1'de tanımlanan kanonik ortamla birebir örtüşmemektedir. Misspec-mild koşuları sigma_mult = [0.5, 1.0, 2.0] ve warmup_steps = 400 ile üretilmiştir; kanonik değerler ise sigma_mult = [0.6, 1.0, 1.8] ve warmup_steps = 1000'dir. Bu sapma WP5.5 sinyal denetimi öncesinde yapılan sanity-check sırasında tespit edilmiş, hesaplama maliyeti nedeniyle kanonik parametrelerle yeniden üretim gerçekleştirilmemiştir (bkz. Decisions Log #42, #45). Okuyucunun aşağıdaki tablo ve istatistiklerin bu daha agresif rejim-oranı ortamına ait olduğunu göz önünde bulundurması gerekir; ana null bulgusu (sigma_only ≈ oracle_full) her iki parametre setinde de aynı yönde raporlanmaktadır.</w:t>
      </w:r>
    </w:p>
    <w:p>
      <w:r>
        <w:t>Tasarım: MMSimulator generic kalmış; env.py içinde her adımda regime_true'ya göre ExecParams override edilmiştir. Mild misspecification parametreleri: L rejimi A=4.0, k=1.8; M rejimi A=5.0, k=1.5 (baz değer); H rejimi A=6.0, k=1.2. Bu parametre konfigürasyonu, yüksek volatilite rejiminde gerçekçi bir likidite daralmasını değil, PPO ajanlarının değişen dolum dinamiklerine karşı dayanıklılığını test etmeye yönelik adversarial bir parametre şokunu temsil etmektedir.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4320"/>
        <w:gridCol w:w="4320"/>
      </w:tblGrid>
      <w:tr>
        <w:tc>
          <w:tcPr>
            <w:tcW w:type="dxa" w:w="4320"/>
          </w:tcPr>
          <w:p>
            <w:r>
              <w:rPr>
                <w:b/>
              </w:rPr>
              <w:t>Varyant</w:t>
            </w:r>
          </w:p>
        </w:tc>
        <w:tc>
          <w:tcPr>
            <w:tcW w:type="dxa" w:w="4320"/>
          </w:tcPr>
          <w:p>
            <w:r>
              <w:rPr>
                <w:b/>
              </w:rPr>
              <w:t>Ort. Sharpe</w:t>
            </w:r>
          </w:p>
        </w:tc>
      </w:tr>
      <w:tr>
        <w:tc>
          <w:tcPr>
            <w:tcW w:type="dxa" w:w="4320"/>
          </w:tcPr>
          <w:p>
            <w:r>
              <w:t>ppo_sigma_only</w:t>
            </w:r>
          </w:p>
        </w:tc>
        <w:tc>
          <w:tcPr>
            <w:tcW w:type="dxa" w:w="4320"/>
          </w:tcPr>
          <w:p>
            <w:r>
              <w:t>0.685</w:t>
            </w:r>
          </w:p>
        </w:tc>
      </w:tr>
      <w:tr>
        <w:tc>
          <w:tcPr>
            <w:tcW w:type="dxa" w:w="4320"/>
          </w:tcPr>
          <w:p>
            <w:r>
              <w:t>ppo_oracle_full</w:t>
            </w:r>
          </w:p>
        </w:tc>
        <w:tc>
          <w:tcPr>
            <w:tcW w:type="dxa" w:w="4320"/>
          </w:tcPr>
          <w:p>
            <w:r>
              <w:t>0.682</w:t>
            </w:r>
          </w:p>
        </w:tc>
      </w:tr>
      <w:tr>
        <w:tc>
          <w:tcPr>
            <w:tcW w:type="dxa" w:w="4320"/>
          </w:tcPr>
          <w:p>
            <w:r>
              <w:t>ppo_combined</w:t>
            </w:r>
          </w:p>
        </w:tc>
        <w:tc>
          <w:tcPr>
            <w:tcW w:type="dxa" w:w="4320"/>
          </w:tcPr>
          <w:p>
            <w:r>
              <w:t>0.651</w:t>
            </w:r>
          </w:p>
        </w:tc>
      </w:tr>
      <w:tr>
        <w:tc>
          <w:tcPr>
            <w:tcW w:type="dxa" w:w="4320"/>
          </w:tcPr>
          <w:p>
            <w:r>
              <w:t>ppo_regime_only</w:t>
            </w:r>
          </w:p>
        </w:tc>
        <w:tc>
          <w:tcPr>
            <w:tcW w:type="dxa" w:w="4320"/>
          </w:tcPr>
          <w:p>
            <w:r>
              <w:t>0.634</w:t>
            </w:r>
          </w:p>
        </w:tc>
      </w:tr>
      <w:tr>
        <w:tc>
          <w:tcPr>
            <w:tcW w:type="dxa" w:w="4320"/>
          </w:tcPr>
          <w:p>
            <w:r>
              <w:t>ppo_oracle_pure</w:t>
            </w:r>
          </w:p>
        </w:tc>
        <w:tc>
          <w:tcPr>
            <w:tcW w:type="dxa" w:w="4320"/>
          </w:tcPr>
          <w:p>
            <w:r>
              <w:t>0.602</w:t>
            </w:r>
          </w:p>
        </w:tc>
      </w:tr>
    </w:tbl>
    <w:p>
      <w:r>
        <w:drawing>
          <wp:inline xmlns:a="http://schemas.openxmlformats.org/drawingml/2006/main" xmlns:pic="http://schemas.openxmlformats.org/drawingml/2006/picture">
            <wp:extent cx="5029200" cy="2842591"/>
            <wp:docPr id="9" name="Picture 9"/>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029200" cy="2842591"/>
                    </a:xfrm>
                    <a:prstGeom prst="rect"/>
                  </pic:spPr>
                </pic:pic>
              </a:graphicData>
            </a:graphic>
          </wp:inline>
        </w:drawing>
      </w:r>
    </w:p>
    <w:p>
      <w:r>
        <w:t>Şekil 9. Mild model misspecification ortamında PPO varyantlarının Sharpe karşılaştırması (20 tohum, ortalama ± std). Fill parametreleri A ve k rejime bağlı olacak şekilde değiştirilmiştir; sigma_only ile oracle_full arasındaki eşleştirilmiş Sharpe karşılaştırması p = 0.881'dir.</w:t>
      </w:r>
    </w:p>
    <w:p>
      <w:r>
        <w:t>Bu görsel, model misspecification sonucunu özetlemektedir: rejime bağlı A/k altında sigma_only ve oracle_full neredeyse aynı Sharpe düzeyinde kalmaktadır. Bu bulgu yalnızca bu mild misspecification tasarımı için bir robustness sonucu olarak yorumlanmalıdır; tüm piyasa model yanlış belirlemeleri altında evrensel eşdeğerlik iddiası değildir.</w:t>
      </w:r>
    </w:p>
    <w:p>
      <w:r>
        <w:t>Eşleştirilmiş t-testi sonuçları: ppo_sigma_only vs ppo_oracle_full: p=0.881; ppo_sigma_only vs ppo_combined: p=0.217; ppo_sigma_only vs ppo_oracle_pure: p=0.098. Hiçbir karşılaştırma istatistiksel anlamlılık eşiğine ulaşmamıştır.</w:t>
      </w:r>
    </w:p>
    <w:p>
      <w:r>
        <w:t>TOST equivalence test (bounds ±0.05) further confirms practical equivalence under model misspecification (p=0.042). The 90% confidence interval [−0.040, +0.048] — the CI corresponding to the TOST procedure at α=0.05 — lies entirely within the ±0.05 equivalence bound. The wider 95% CI [−0.049, +0.057] remains within the ±0.10 bound. Cohen's d = 0.034 indicates negligible effect size, strengthening the signal redundancy interpretation across both standard and adversarial environments.</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2"/>
      </w:pPr>
      <w:r>
        <w:t>4.9 Manipülasyon Geçerlilik Denetimi</w:t>
      </w:r>
    </w:p>
    <w:p>
      <w:r>
        <w:t>Motivasyon: PPO ajanlarının eğitiminde kullanılan gözlem uzayı sigma_hat ve rejim one-hot bileşenlerini içermektedir. Null sonucu savunulur kılmanın gerekli koşullarından biri, bu sinyallerin taşıdığı bilginin gerçekten ajanın kullanabileceği yapıda olduğunun — ve sinyal kalitesi düşürüldüğünde metriklerin beklendiği gibi bozulduğunun — gösterilmesidir. Aksi hâlde 'rejim etiketi faydasız' ifadesi, etiketin öznitelik olarak hiç bilgi taşımadığı trivial durumdan ayırt edilemez. Bu bölüm, rejim sinyali üzerine uygulanan kontrollü manipülasyonların regresyon/sınıflandırma metriklerinde beklenen etkiyi ürettiğini raporlar.</w:t>
      </w:r>
    </w:p>
    <w:p>
      <w:r>
        <w:t>Yöntem: Kanonik operating point (dt = 0.2, sigma_mid_ticks = 0.8, sigma_mult = [0.6, 1.0, 1.8], warmup_steps = 1000, rv_window = 50, n_steps = 8000, tohum = 123) altında tek bir epizot üretilir. Rolling realized volatility serisi üzerinde beş koşul uygulanır: clean (manipülasyon yok), noisy (noise_std = 0.5 × clean_sigma_std, yani 0.09 civarı), lagged (5 adım gecikme), coarsened (5 kuantil kovasına indirgeme, kova ortalamasıyla değiştirme) ve none (sabit fill_value = 0.0). Her koşul için sigma_hat ile regime_true arasındaki Spearman/Pearson korelasyonu, rejim sınıflandırma doğruluğu, ayrışabilirlik (Fisher benzeri skor) ve threshold overlap oranı hesaplanır. Audit iş paketinin kaynak dosyaları: config/w55_audit.json, src/wp5_5/job_w55_audit.py, src/wp5_5/signal_degradation.py, src/wp5_5/signal_audit.py.</w:t>
      </w:r>
    </w:p>
    <w:p>
      <w:r>
        <w:t>Yapısal metrik politikası: 'none' koşulu sabit bir fill değeriyle çalıştığı için classification_accuracy ve threshold_overlap metrikleri bu koşulda yapısal olarak tanımsızdır — değerler sinyal bilgi içeriğini değil, fill değeri ile kalibre edilmiş eşikler arasındaki ilişkiyi yansıtır. Bu iki metrik 'none' koşulunda raporlanmaya devam eder ancak PASS/FAIL değerlendirmesinden çıkarılmıştır (reported-but-not-gated).</w:t>
      </w:r>
    </w:p>
    <w:p>
      <w:r>
        <w:t>Tablo 8. WP5.5 Sinyal Denetim Metrikleri (kanonik operating point, tohum = 123)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Koşul</w:t>
            </w:r>
          </w:p>
        </w:tc>
        <w:tc>
          <w:tcPr>
            <w:tcW w:type="dxa" w:w="1440"/>
          </w:tcPr>
          <w:p>
            <w:r>
              <w:rPr>
                <w:b/>
              </w:rPr>
              <w:t>Spearman</w:t>
            </w:r>
          </w:p>
        </w:tc>
        <w:tc>
          <w:tcPr>
            <w:tcW w:type="dxa" w:w="1440"/>
          </w:tcPr>
          <w:p>
            <w:r>
              <w:rPr>
                <w:b/>
              </w:rPr>
              <w:t>Pearson</w:t>
            </w:r>
          </w:p>
        </w:tc>
        <w:tc>
          <w:tcPr>
            <w:tcW w:type="dxa" w:w="1440"/>
          </w:tcPr>
          <w:p>
            <w:r>
              <w:rPr>
                <w:b/>
              </w:rPr>
              <w:t>Clas. Acc.</w:t>
            </w:r>
          </w:p>
        </w:tc>
        <w:tc>
          <w:tcPr>
            <w:tcW w:type="dxa" w:w="1440"/>
          </w:tcPr>
          <w:p>
            <w:r>
              <w:rPr>
                <w:b/>
              </w:rPr>
              <w:t>Ayrışab.</w:t>
            </w:r>
          </w:p>
        </w:tc>
        <w:tc>
          <w:tcPr>
            <w:tcW w:type="dxa" w:w="1440"/>
          </w:tcPr>
          <w:p>
            <w:r>
              <w:rPr>
                <w:b/>
              </w:rPr>
              <w:t>Thr. Overlap</w:t>
            </w:r>
          </w:p>
        </w:tc>
      </w:tr>
      <w:tr>
        <w:tc>
          <w:tcPr>
            <w:tcW w:type="dxa" w:w="1440"/>
          </w:tcPr>
          <w:p>
            <w:r>
              <w:t>clean</w:t>
            </w:r>
          </w:p>
        </w:tc>
        <w:tc>
          <w:tcPr>
            <w:tcW w:type="dxa" w:w="1440"/>
          </w:tcPr>
          <w:p>
            <w:r>
              <w:t>1.000</w:t>
            </w:r>
          </w:p>
        </w:tc>
        <w:tc>
          <w:tcPr>
            <w:tcW w:type="dxa" w:w="1440"/>
          </w:tcPr>
          <w:p>
            <w:r>
              <w:t>1.000</w:t>
            </w:r>
          </w:p>
        </w:tc>
        <w:tc>
          <w:tcPr>
            <w:tcW w:type="dxa" w:w="1440"/>
          </w:tcPr>
          <w:p>
            <w:r>
              <w:t>0.400</w:t>
            </w:r>
          </w:p>
        </w:tc>
        <w:tc>
          <w:tcPr>
            <w:tcW w:type="dxa" w:w="1440"/>
          </w:tcPr>
          <w:p>
            <w:r>
              <w:t>5093.3</w:t>
            </w:r>
          </w:p>
        </w:tc>
        <w:tc>
          <w:tcPr>
            <w:tcW w:type="dxa" w:w="1440"/>
          </w:tcPr>
          <w:p>
            <w:r>
              <w:t>0.300</w:t>
            </w:r>
          </w:p>
        </w:tc>
      </w:tr>
      <w:tr>
        <w:tc>
          <w:tcPr>
            <w:tcW w:type="dxa" w:w="1440"/>
          </w:tcPr>
          <w:p>
            <w:r>
              <w:t>noisy</w:t>
            </w:r>
          </w:p>
        </w:tc>
        <w:tc>
          <w:tcPr>
            <w:tcW w:type="dxa" w:w="1440"/>
          </w:tcPr>
          <w:p>
            <w:r>
              <w:t>0.820</w:t>
            </w:r>
          </w:p>
        </w:tc>
        <w:tc>
          <w:tcPr>
            <w:tcW w:type="dxa" w:w="1440"/>
          </w:tcPr>
          <w:p>
            <w:r>
              <w:t>0.894</w:t>
            </w:r>
          </w:p>
        </w:tc>
        <w:tc>
          <w:tcPr>
            <w:tcW w:type="dxa" w:w="1440"/>
          </w:tcPr>
          <w:p>
            <w:r>
              <w:t>0.518</w:t>
            </w:r>
          </w:p>
        </w:tc>
        <w:tc>
          <w:tcPr>
            <w:tcW w:type="dxa" w:w="1440"/>
          </w:tcPr>
          <w:p>
            <w:r>
              <w:t>4274.3</w:t>
            </w:r>
          </w:p>
        </w:tc>
        <w:tc>
          <w:tcPr>
            <w:tcW w:type="dxa" w:w="1440"/>
          </w:tcPr>
          <w:p>
            <w:r>
              <w:t>0.103</w:t>
            </w:r>
          </w:p>
        </w:tc>
      </w:tr>
      <w:tr>
        <w:tc>
          <w:tcPr>
            <w:tcW w:type="dxa" w:w="1440"/>
          </w:tcPr>
          <w:p>
            <w:r>
              <w:t>lagged</w:t>
            </w:r>
          </w:p>
        </w:tc>
        <w:tc>
          <w:tcPr>
            <w:tcW w:type="dxa" w:w="1440"/>
          </w:tcPr>
          <w:p>
            <w:r>
              <w:t>0.977</w:t>
            </w:r>
          </w:p>
        </w:tc>
        <w:tc>
          <w:tcPr>
            <w:tcW w:type="dxa" w:w="1440"/>
          </w:tcPr>
          <w:p>
            <w:r>
              <w:t>0.991</w:t>
            </w:r>
          </w:p>
        </w:tc>
        <w:tc>
          <w:tcPr>
            <w:tcW w:type="dxa" w:w="1440"/>
          </w:tcPr>
          <w:p>
            <w:r>
              <w:t>0.398</w:t>
            </w:r>
          </w:p>
        </w:tc>
        <w:tc>
          <w:tcPr>
            <w:tcW w:type="dxa" w:w="1440"/>
          </w:tcPr>
          <w:p>
            <w:r>
              <w:t>4856.8</w:t>
            </w:r>
          </w:p>
        </w:tc>
        <w:tc>
          <w:tcPr>
            <w:tcW w:type="dxa" w:w="1440"/>
          </w:tcPr>
          <w:p>
            <w:r>
              <w:t>0.300</w:t>
            </w:r>
          </w:p>
        </w:tc>
      </w:tr>
      <w:tr>
        <w:tc>
          <w:tcPr>
            <w:tcW w:type="dxa" w:w="1440"/>
          </w:tcPr>
          <w:p>
            <w:r>
              <w:t>coarsened</w:t>
            </w:r>
          </w:p>
        </w:tc>
        <w:tc>
          <w:tcPr>
            <w:tcW w:type="dxa" w:w="1440"/>
          </w:tcPr>
          <w:p>
            <w:r>
              <w:t>0.940</w:t>
            </w:r>
          </w:p>
        </w:tc>
        <w:tc>
          <w:tcPr>
            <w:tcW w:type="dxa" w:w="1440"/>
          </w:tcPr>
          <w:p>
            <w:r>
              <w:t>0.877</w:t>
            </w:r>
          </w:p>
        </w:tc>
        <w:tc>
          <w:tcPr>
            <w:tcW w:type="dxa" w:w="1440"/>
          </w:tcPr>
          <w:p>
            <w:r>
              <w:t>0.391</w:t>
            </w:r>
          </w:p>
        </w:tc>
        <w:tc>
          <w:tcPr>
            <w:tcW w:type="dxa" w:w="1440"/>
          </w:tcPr>
          <w:p>
            <w:r>
              <w:t>5114.1</w:t>
            </w:r>
          </w:p>
        </w:tc>
        <w:tc>
          <w:tcPr>
            <w:tcW w:type="dxa" w:w="1440"/>
          </w:tcPr>
          <w:p>
            <w:r>
              <w:t>0.374</w:t>
            </w:r>
          </w:p>
        </w:tc>
      </w:tr>
      <w:tr>
        <w:tc>
          <w:tcPr>
            <w:tcW w:type="dxa" w:w="1440"/>
          </w:tcPr>
          <w:p>
            <w:r>
              <w:t>none</w:t>
            </w:r>
          </w:p>
        </w:tc>
        <w:tc>
          <w:tcPr>
            <w:tcW w:type="dxa" w:w="1440"/>
          </w:tcPr>
          <w:p>
            <w:r>
              <w:t>0.000</w:t>
            </w:r>
          </w:p>
        </w:tc>
        <w:tc>
          <w:tcPr>
            <w:tcW w:type="dxa" w:w="1440"/>
          </w:tcPr>
          <w:p>
            <w:r>
              <w:t>0.000</w:t>
            </w:r>
          </w:p>
        </w:tc>
        <w:tc>
          <w:tcPr>
            <w:tcW w:type="dxa" w:w="1440"/>
          </w:tcPr>
          <w:p>
            <w:r>
              <w:t>0.548</w:t>
            </w:r>
          </w:p>
        </w:tc>
        <w:tc>
          <w:tcPr>
            <w:tcW w:type="dxa" w:w="1440"/>
          </w:tcPr>
          <w:p>
            <w:r>
              <w:t>0.000</w:t>
            </w:r>
          </w:p>
        </w:tc>
        <w:tc>
          <w:tcPr>
            <w:tcW w:type="dxa" w:w="1440"/>
          </w:tcPr>
          <w:p>
            <w:r>
              <w:t>0.000</w:t>
            </w:r>
          </w:p>
        </w:tc>
      </w:tr>
    </w:tbl>
    <w:p>
      <w:r>
        <w:t>Bulgular: (i) Direction — clean sinyali 'none' baseline'ına karşı Spearman, Pearson ve ayrışabilirlik boyutlarında PASS vermektedir; yapısal olarak tanımsız iki metrik (classification_accuracy ve threshold_overlap) 'none' koşulunda gate dışında bırakılmıştır. (ii) Separation — noisy, lagged ve coarsened koşullarının tümü clean baseline'ından belirgin biçimde sapmakta, yani rejim etiketine uygulanan kontrollü bozulumlar ölçülebilir etki üretmektedir. (iii) Coarsen safety — 5 kovalı ayrıklaştırma, metriklerin üzerinde yıkıcı bir bilgi kaybı yaratmamaktadır. (iv) Monotonicity — 'clean → noisy → lagged → coarsened → none' dizisi boyunca ölçütler yekpare (monotone) bir şiddet eğrisine oturmamaktadır (non-monotone FAIL). Bu sonuç, tek bir sıralama ekseni boyunca artan bozulmadan kaynaklanan yapısal bir başarısızlık değildir; üç degradasyon (gürültü, gecikme, kuantizasyon) sinyal yapısına farklı boyutlarda saldırdığı için ortak bir şiddet ölçütüne indirgenmeleri ölçüt tasarımı düzeyinde tartışmaya açıktır.</w:t>
      </w:r>
    </w:p>
    <w:p>
      <w:r>
        <w:t>Yorum: Denetim, rejim sinyaline dokunan kontrollü manipülasyonların beklenen yönde ölçülebilir etki ürettiğini göstermektedir (direction PASS, separation PASS, coarsen safety PASS). Bu, sinyalin faydasız değil, *taşıdığı bilgi sigma_hat tarafından zaten yansıtıldığı için* RL performansına marjinal katkı sağladığı şeklindeki null-result yorumuyla tutarlıdır. Monotonicity FAIL'i, ayrı tipteki bozulumların tek bir şiddet ekseninde karşılaştırılmasına dair bir ölçüt tasarımı uyarısı olarak okunmalıdır; WP5.5 run'ın genel önerisi bu nedenle REVIEW düzeyindedir. Audit çıktıları: results/runs/20260422-170037_seed123_wp55-signal-audit_66fc17e/.</w:t>
      </w:r>
    </w:p>
    <w:p>
      <w:r>
        <w:t>Reproducibility notu: config dosyasında noise_std alanı 'auto' değerine ayarlıdır; audit iş paketi koşu sırasında gürültü standart sapmasını 0.5 × clean_sigma_std (post-warmup) olarak hesaplar. Bu sayede gürültü seviyesi her zaman kanonik sinyal ölçeğine göre sabit oranda kalır ve operating point'e dair güncellemelere otomatik olarak adapte olur. WP5.5 öncesinde yapılan iki drift'li koşu (20260419-214718, 20260419-221930) süpersed edilmiş ve 'results/runs/wp55_audit_archive_note.md' altında arşivlenmiştir.</w:t>
      </w:r>
    </w:p>
    <w:p>
      <w:pPr>
        <w:pStyle w:val="Heading1"/>
      </w:pPr>
      <w:r>
        <w:t>5. SİNYAL BİLGİLENDİRİCİLİK SÜPÜRMESİ</w:t>
      </w:r>
    </w:p>
    <w:p>
      <w:r>
        <w:t>Bu bölüm, sürekli volatilite sinyalinin (σ̂_t) artan biçimde bozulduğu beş koşulda (full → noisy → lagged → coarsened → none) PPO ajanının beş gözlem-uzayı varyantı (sigma_only, combined, regime_only, oracle_full, oracle_pure) altında nasıl davrandığını raporlar. Kalibrasyon parametreleri Karar #46'da belirlenmiştir (noisy α = 0.40, lagged k = 20, coarsened binning). Toplam 4 koşul × 5 varyant + 1 koşul × 4 varyant = 24 hücre × 20 tohum = 480 koşum eğitilmiş ve her koşumda deterministik OOS değerlendirmesi yapılmıştır.</w:t>
      </w:r>
    </w:p>
    <w:p>
      <w:r>
        <w:t>Tarihsel şeffaflık (Karar #47): WP6 başlangıçta, sürekli volatilite sinyali σ̂_t bozuldukça explicit kategorik rejim etiketlerinin değer kazandığı bir rejimi tespit etmek — yani bilgilendiricilik-eşiği hipotezini test etmek (Karar #46) — amacıyla tasarlanmıştır. Deney bunun yerine, test edilen kalibrasyon aralığı içinde böyle bir rejimin var olmadığını ortaya koymuş ve combined varyantında beklenmeyen bir bozulma örüntüsünü gün yüzüne çıkarmıştır. Bu bölüm her iki bulguyu gözlemlendiği şekilde raporlar; deney tasarımı ve analiz planı sonuçlar görüldükten sonra değiştirilmemiştir.</w:t>
      </w:r>
    </w:p>
    <w:p>
      <w:r>
        <w:t>Metodolojik simetri notu — TOST kullanımı: WP5, ppo_aware ile ppo_blind arasındaki pratik eşitliği kanıtlamak amacıyla TOST'u eşitlik yönünde kullanmıştır. WP6 ise TOST'u her iki yönde kullanır: combined ile sigma_only karşılaştırmasında non-eşitlik (Şekil 11) ve combined ile regime_only karşılaştırmasında eşitlik (Şekil 12; n = 20'nin ikinci yön için underpowered olduğu kayda alınarak). Eşitlik testinde max(p_lower, p_upper) &lt; α, non-eşitlik testinde min(p_lower, p_upper) &lt; α karar kuralı uygulanır.</w:t>
      </w:r>
    </w:p>
    <w:p>
      <w:r>
        <w:t>Tablo 9, beş koşul × beş varyant matrisinde 20 tohum üzerinden OOS Sharpe ortalamasını ve %95 güven aralığını özetlemektedir (df = 19; t-kritik = 2.093). regime_only ve oracle_pure varyantları yapısı gereği σ̂_t'yi tüketmediğinden koşul-değişmezdir; bu tohum-bazında doğrulanmıştır (max |fark| = 0). sigma_only varyantı condition = none altında tanımsızdır (σ̂_t sıfırlanır).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Koşul</w:t>
            </w:r>
          </w:p>
        </w:tc>
        <w:tc>
          <w:tcPr>
            <w:tcW w:type="dxa" w:w="1440"/>
          </w:tcPr>
          <w:p>
            <w:r>
              <w:rPr>
                <w:b/>
              </w:rPr>
              <w:t>sigma_only</w:t>
            </w:r>
          </w:p>
        </w:tc>
        <w:tc>
          <w:tcPr>
            <w:tcW w:type="dxa" w:w="1440"/>
          </w:tcPr>
          <w:p>
            <w:r>
              <w:rPr>
                <w:b/>
              </w:rPr>
              <w:t>combined</w:t>
            </w:r>
          </w:p>
        </w:tc>
        <w:tc>
          <w:tcPr>
            <w:tcW w:type="dxa" w:w="1440"/>
          </w:tcPr>
          <w:p>
            <w:r>
              <w:rPr>
                <w:b/>
              </w:rPr>
              <w:t>regime_only</w:t>
            </w:r>
          </w:p>
        </w:tc>
        <w:tc>
          <w:tcPr>
            <w:tcW w:type="dxa" w:w="1440"/>
          </w:tcPr>
          <w:p>
            <w:r>
              <w:rPr>
                <w:b/>
              </w:rPr>
              <w:t>oracle_full</w:t>
            </w:r>
          </w:p>
        </w:tc>
        <w:tc>
          <w:tcPr>
            <w:tcW w:type="dxa" w:w="1440"/>
          </w:tcPr>
          <w:p>
            <w:r>
              <w:rPr>
                <w:b/>
              </w:rPr>
              <w:t>oracle_pure</w:t>
            </w:r>
          </w:p>
        </w:tc>
      </w:tr>
      <w:tr>
        <w:tc>
          <w:tcPr>
            <w:tcW w:type="dxa" w:w="1440"/>
          </w:tcPr>
          <w:p>
            <w:r>
              <w:t>full</w:t>
            </w:r>
          </w:p>
        </w:tc>
        <w:tc>
          <w:tcPr>
            <w:tcW w:type="dxa" w:w="1440"/>
          </w:tcPr>
          <w:p>
            <w:r>
              <w:t>0.763 ± 0.060</w:t>
            </w:r>
          </w:p>
        </w:tc>
        <w:tc>
          <w:tcPr>
            <w:tcW w:type="dxa" w:w="1440"/>
          </w:tcPr>
          <w:p>
            <w:r>
              <w:t>0.690 ± 0.061</w:t>
            </w:r>
          </w:p>
        </w:tc>
        <w:tc>
          <w:tcPr>
            <w:tcW w:type="dxa" w:w="1440"/>
          </w:tcPr>
          <w:p>
            <w:r>
              <w:t>0.699 ± 0.067</w:t>
            </w:r>
          </w:p>
        </w:tc>
        <w:tc>
          <w:tcPr>
            <w:tcW w:type="dxa" w:w="1440"/>
          </w:tcPr>
          <w:p>
            <w:r>
              <w:t>0.681 ± 0.070</w:t>
            </w:r>
          </w:p>
        </w:tc>
        <w:tc>
          <w:tcPr>
            <w:tcW w:type="dxa" w:w="1440"/>
          </w:tcPr>
          <w:p>
            <w:r>
              <w:t>0.663 ± 0.077</w:t>
            </w:r>
          </w:p>
        </w:tc>
      </w:tr>
      <w:tr>
        <w:tc>
          <w:tcPr>
            <w:tcW w:type="dxa" w:w="1440"/>
          </w:tcPr>
          <w:p>
            <w:r>
              <w:t>noisy</w:t>
            </w:r>
          </w:p>
        </w:tc>
        <w:tc>
          <w:tcPr>
            <w:tcW w:type="dxa" w:w="1440"/>
          </w:tcPr>
          <w:p>
            <w:r>
              <w:t>0.756 ± 0.062</w:t>
            </w:r>
          </w:p>
        </w:tc>
        <w:tc>
          <w:tcPr>
            <w:tcW w:type="dxa" w:w="1440"/>
          </w:tcPr>
          <w:p>
            <w:r>
              <w:t>0.713 ± 0.063</w:t>
            </w:r>
          </w:p>
        </w:tc>
        <w:tc>
          <w:tcPr>
            <w:tcW w:type="dxa" w:w="1440"/>
          </w:tcPr>
          <w:p>
            <w:r>
              <w:t>0.699 ± 0.067</w:t>
            </w:r>
          </w:p>
        </w:tc>
        <w:tc>
          <w:tcPr>
            <w:tcW w:type="dxa" w:w="1440"/>
          </w:tcPr>
          <w:p>
            <w:r>
              <w:t>0.674 ± 0.101</w:t>
            </w:r>
          </w:p>
        </w:tc>
        <w:tc>
          <w:tcPr>
            <w:tcW w:type="dxa" w:w="1440"/>
          </w:tcPr>
          <w:p>
            <w:r>
              <w:t>0.663 ± 0.077</w:t>
            </w:r>
          </w:p>
        </w:tc>
      </w:tr>
      <w:tr>
        <w:tc>
          <w:tcPr>
            <w:tcW w:type="dxa" w:w="1440"/>
          </w:tcPr>
          <w:p>
            <w:r>
              <w:t>lagged</w:t>
            </w:r>
          </w:p>
        </w:tc>
        <w:tc>
          <w:tcPr>
            <w:tcW w:type="dxa" w:w="1440"/>
          </w:tcPr>
          <w:p>
            <w:r>
              <w:t>0.782 ± 0.045</w:t>
            </w:r>
          </w:p>
        </w:tc>
        <w:tc>
          <w:tcPr>
            <w:tcW w:type="dxa" w:w="1440"/>
          </w:tcPr>
          <w:p>
            <w:r>
              <w:t>0.681 ± 0.054</w:t>
            </w:r>
          </w:p>
        </w:tc>
        <w:tc>
          <w:tcPr>
            <w:tcW w:type="dxa" w:w="1440"/>
          </w:tcPr>
          <w:p>
            <w:r>
              <w:t>0.699 ± 0.067</w:t>
            </w:r>
          </w:p>
        </w:tc>
        <w:tc>
          <w:tcPr>
            <w:tcW w:type="dxa" w:w="1440"/>
          </w:tcPr>
          <w:p>
            <w:r>
              <w:t>0.726 ± 0.069</w:t>
            </w:r>
          </w:p>
        </w:tc>
        <w:tc>
          <w:tcPr>
            <w:tcW w:type="dxa" w:w="1440"/>
          </w:tcPr>
          <w:p>
            <w:r>
              <w:t>0.663 ± 0.077</w:t>
            </w:r>
          </w:p>
        </w:tc>
      </w:tr>
      <w:tr>
        <w:tc>
          <w:tcPr>
            <w:tcW w:type="dxa" w:w="1440"/>
          </w:tcPr>
          <w:p>
            <w:r>
              <w:t>coarsened</w:t>
            </w:r>
          </w:p>
        </w:tc>
        <w:tc>
          <w:tcPr>
            <w:tcW w:type="dxa" w:w="1440"/>
          </w:tcPr>
          <w:p>
            <w:r>
              <w:t>0.783 ± 0.053</w:t>
            </w:r>
          </w:p>
        </w:tc>
        <w:tc>
          <w:tcPr>
            <w:tcW w:type="dxa" w:w="1440"/>
          </w:tcPr>
          <w:p>
            <w:r>
              <w:t>0.691 ± 0.083</w:t>
            </w:r>
          </w:p>
        </w:tc>
        <w:tc>
          <w:tcPr>
            <w:tcW w:type="dxa" w:w="1440"/>
          </w:tcPr>
          <w:p>
            <w:r>
              <w:t>0.699 ± 0.067</w:t>
            </w:r>
          </w:p>
        </w:tc>
        <w:tc>
          <w:tcPr>
            <w:tcW w:type="dxa" w:w="1440"/>
          </w:tcPr>
          <w:p>
            <w:r>
              <w:t>0.745 ± 0.055</w:t>
            </w:r>
          </w:p>
        </w:tc>
        <w:tc>
          <w:tcPr>
            <w:tcW w:type="dxa" w:w="1440"/>
          </w:tcPr>
          <w:p>
            <w:r>
              <w:t>0.663 ± 0.077</w:t>
            </w:r>
          </w:p>
        </w:tc>
      </w:tr>
      <w:tr>
        <w:tc>
          <w:tcPr>
            <w:tcW w:type="dxa" w:w="1440"/>
          </w:tcPr>
          <w:p>
            <w:r>
              <w:t>none</w:t>
            </w:r>
          </w:p>
        </w:tc>
        <w:tc>
          <w:tcPr>
            <w:tcW w:type="dxa" w:w="1440"/>
          </w:tcPr>
          <w:p>
            <w:r>
              <w:t>tanımsız</w:t>
            </w:r>
          </w:p>
        </w:tc>
        <w:tc>
          <w:tcPr>
            <w:tcW w:type="dxa" w:w="1440"/>
          </w:tcPr>
          <w:p>
            <w:r>
              <w:t>0.699 ± 0.067</w:t>
            </w:r>
          </w:p>
        </w:tc>
        <w:tc>
          <w:tcPr>
            <w:tcW w:type="dxa" w:w="1440"/>
          </w:tcPr>
          <w:p>
            <w:r>
              <w:t>0.699 ± 0.067</w:t>
            </w:r>
          </w:p>
        </w:tc>
        <w:tc>
          <w:tcPr>
            <w:tcW w:type="dxa" w:w="1440"/>
          </w:tcPr>
          <w:p>
            <w:r>
              <w:t>0.663 ± 0.077</w:t>
            </w:r>
          </w:p>
        </w:tc>
        <w:tc>
          <w:tcPr>
            <w:tcW w:type="dxa" w:w="1440"/>
          </w:tcPr>
          <w:p>
            <w:r>
              <w:t>0.663 ± 0.077</w:t>
            </w:r>
          </w:p>
        </w:tc>
      </w:tr>
    </w:tbl>
    <w:p>
      <w:r>
        <w:drawing>
          <wp:inline xmlns:a="http://schemas.openxmlformats.org/drawingml/2006/main" xmlns:pic="http://schemas.openxmlformats.org/drawingml/2006/picture">
            <wp:extent cx="5029200" cy="3153852"/>
            <wp:docPr id="10" name="Picture 10"/>
            <wp:cNvGraphicFramePr>
              <a:graphicFrameLocks noChangeAspect="1"/>
            </wp:cNvGraphicFramePr>
            <a:graphic>
              <a:graphicData uri="http://schemas.openxmlformats.org/drawingml/2006/picture">
                <pic:pic>
                  <pic:nvPicPr>
                    <pic:cNvPr id="0" name="monotonic_gap.png"/>
                    <pic:cNvPicPr/>
                  </pic:nvPicPr>
                  <pic:blipFill>
                    <a:blip r:embed="rId18"/>
                    <a:stretch>
                      <a:fillRect/>
                    </a:stretch>
                  </pic:blipFill>
                  <pic:spPr>
                    <a:xfrm>
                      <a:off x="0" y="0"/>
                      <a:ext cx="5029200" cy="3153852"/>
                    </a:xfrm>
                    <a:prstGeom prst="rect"/>
                  </pic:spPr>
                </pic:pic>
              </a:graphicData>
            </a:graphic>
          </wp:inline>
        </w:drawing>
      </w:r>
    </w:p>
    <w:p>
      <w:r>
        <w:t>Şekil 10. Beş koşul boyunca beş varyantın OOS Sharpe ortalaması (20 tohum, ortalama ± %95 GA). x-ekseni sinyal bozulması ekseni (full → noisy → lagged → coarsened → none); y-ekseni Sharpe-benzeri performans metriği. sigma_only çizgisi dört bilgilendirici koşulda (0.756–0.783) yatay seyretmektedir; regime_only ve oracle_pure çizgileri yapısal olarak sabittir.</w:t>
      </w:r>
    </w:p>
    <w:p>
      <w:pPr>
        <w:pStyle w:val="Heading2"/>
      </w:pPr>
      <w:r>
        <w:t>5.1 Reddedilen Hipotez: Bilgilendiricilik-Eşiği</w:t>
      </w:r>
    </w:p>
    <w:p>
      <w:r>
        <w:t>Pre-registered beklenti: σ̂_t aşamalı olarak bozuldukça (full → noisy → lagged → coarsened → none), sigma_only ile combined arasındaki Sharpe farkı monoton biçimde daralmalı; sigma yeterince gürültülü hale geldiğinde kategorik rejim etiketi anlamlı bilgi katmaya başlamalıdır. Bu hipotez WP5'in null sonucunu — explicit rejim etiketlerinin σ̂_t'nin halihazırda taşıdığı bilgiyle yedekli kaldığı bulgusunu — yöntemsel olarak izleyen bir testtir (Karar #46).</w:t>
      </w:r>
    </w:p>
    <w:p>
      <w:r>
        <w:t>Gözlem (Şekil 10, Tablo 9): sigma_only varyantı dört bilgilendirici koşulda 0.756–0.783 aralığında esasen sabit kalır; sigma_only ile combined arasındaki fark 0.06–0.10 Sharpe-benzeri bandında durur ve monoton bir daralma sergilemez. Bu, pre-registered hipotezin reddedildiği anlamına gelir: test edilen kalibrasyon aralığı içinde, sigma'nın bozulması combined varyantının sigma_only'yi yakalamasına yol açmaz.</w:t>
      </w:r>
    </w:p>
    <w:p>
      <w:r>
        <w:t>Kalibrasyon aralığı uyarısı: Test edilen kalibrasyon aralığı içinde (Karar #46: noisy α = 0.40, lagged k = 20, coarsened binning), hiçbir bozulma koşulu, explicit kategorik etiketlerin faydalı hale geldiği bir rejim üretmemiştir. Daha agresif bozulmalar (örn. α = 0.80 veya k = 50) bu süpürmede test edilmemiştir ve bunlar ekarte edilemez. Dolayısıyla 'sigma_only düz' bulgusu, seçilmiş kalibrasyon bandına ilişkin bir ifadedir; tüm sigma bozulmaları için evrensel bir iddia değildir. Noisy condition'un α değeri, tüm post-warmup standart sapması kullanılarak kalibre edilmiştir; yalnızca eğitim verisi kullanılarak yeniden kalibre edildiğinde α tahmini olarak &lt;%10 oranında kayacaktır. Bu kayma, §5.2'de raporlanan yönsel bulguların (combined &lt; sigma_only, Cohen's dz arası -0.57 ile -0.91) sağlam kaldığı aralık içindedir.</w:t>
      </w:r>
    </w:p>
    <w:p>
      <w:pPr>
        <w:pStyle w:val="Heading2"/>
      </w:pPr>
      <w:r>
        <w:t>5.2 Beklenmeyen Bulgu: combined Varyantının Yönsel Düşüşü</w:t>
      </w:r>
    </w:p>
    <w:p>
      <w:r>
        <w:t>Süpürme planlanmamış bir bulguyu ortaya çıkarmıştır: combined varyantı dört bilgilendirici koşulun tümünde sigma_only'nin altında yönsel olarak konumlanmaktadır. Tohum-bazında eşleştirilmiş analiz (Şekil 11, summary_paired_combined_vs_sigma.csv): her koşulda 20 tohumun 15–18'i kimlik çizgisinin (y = x) altında yer alır; eşleştirilmiş t-testi p-değeri her dört koşulda 0.05'in altındadır; Cohen's dz orta-büyüklükten büyüğe (−0.57'den −0.91'e) uzanır.</w:t>
      </w:r>
    </w:p>
    <w:p>
      <w:r>
        <w:drawing>
          <wp:inline xmlns:a="http://schemas.openxmlformats.org/drawingml/2006/main" xmlns:pic="http://schemas.openxmlformats.org/drawingml/2006/picture">
            <wp:extent cx="5029200" cy="5354675"/>
            <wp:docPr id="11" name="Picture 11"/>
            <wp:cNvGraphicFramePr>
              <a:graphicFrameLocks noChangeAspect="1"/>
            </wp:cNvGraphicFramePr>
            <a:graphic>
              <a:graphicData uri="http://schemas.openxmlformats.org/drawingml/2006/picture">
                <pic:pic>
                  <pic:nvPicPr>
                    <pic:cNvPr id="0" name="paired_seed_combined_vs_sigma.png"/>
                    <pic:cNvPicPr/>
                  </pic:nvPicPr>
                  <pic:blipFill>
                    <a:blip r:embed="rId19"/>
                    <a:stretch>
                      <a:fillRect/>
                    </a:stretch>
                  </pic:blipFill>
                  <pic:spPr>
                    <a:xfrm>
                      <a:off x="0" y="0"/>
                      <a:ext cx="5029200" cy="5354675"/>
                    </a:xfrm>
                    <a:prstGeom prst="rect"/>
                  </pic:spPr>
                </pic:pic>
              </a:graphicData>
            </a:graphic>
          </wp:inline>
        </w:drawing>
      </w:r>
    </w:p>
    <w:p>
      <w:r>
        <w:t>Şekil 11. Tohum-bazında combined vs sigma_only karşılaştırması (her panel bir koşul, her nokta bir tohum, n = 20). Kesikli çizgi y = x referansıdır. Noktaların büyük çoğunluğunun y = x'in altında kalması, combined varyantının seed-by-seed temelinde sigma_only'nin altında yönsel olarak yer aldığını gösterir.</w:t>
      </w:r>
    </w:p>
    <w:p>
      <w:r>
        <w:t>Tablo 10. combined vs sigma_only — Eşleştirilmiş Tohum İstatistikleri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Koşul</w:t>
            </w:r>
          </w:p>
        </w:tc>
        <w:tc>
          <w:tcPr>
            <w:tcW w:type="dxa" w:w="1234"/>
          </w:tcPr>
          <w:p>
            <w:r>
              <w:rPr>
                <w:b/>
              </w:rPr>
              <w:t>n_below</w:t>
            </w:r>
          </w:p>
        </w:tc>
        <w:tc>
          <w:tcPr>
            <w:tcW w:type="dxa" w:w="1234"/>
          </w:tcPr>
          <w:p>
            <w:r>
              <w:rPr>
                <w:b/>
              </w:rPr>
              <w:t>mean_diff</w:t>
            </w:r>
          </w:p>
        </w:tc>
        <w:tc>
          <w:tcPr>
            <w:tcW w:type="dxa" w:w="1234"/>
          </w:tcPr>
          <w:p>
            <w:r>
              <w:rPr>
                <w:b/>
              </w:rPr>
              <w:t>paired t p</w:t>
            </w:r>
          </w:p>
        </w:tc>
        <w:tc>
          <w:tcPr>
            <w:tcW w:type="dxa" w:w="1234"/>
          </w:tcPr>
          <w:p>
            <w:r>
              <w:rPr>
                <w:b/>
              </w:rPr>
              <w:t>Cohen's dz</w:t>
            </w:r>
          </w:p>
        </w:tc>
        <w:tc>
          <w:tcPr>
            <w:tcW w:type="dxa" w:w="1234"/>
          </w:tcPr>
          <w:p>
            <w:r>
              <w:rPr>
                <w:b/>
              </w:rPr>
              <w:t>TOST p (non-eşitlik)</w:t>
            </w:r>
          </w:p>
        </w:tc>
        <w:tc>
          <w:tcPr>
            <w:tcW w:type="dxa" w:w="1234"/>
          </w:tcPr>
          <w:p>
            <w:r>
              <w:rPr>
                <w:b/>
              </w:rPr>
              <w:t>δ=0.05'te red</w:t>
            </w:r>
          </w:p>
        </w:tc>
      </w:tr>
      <w:tr>
        <w:tc>
          <w:tcPr>
            <w:tcW w:type="dxa" w:w="1234"/>
          </w:tcPr>
          <w:p>
            <w:r>
              <w:t>full</w:t>
            </w:r>
          </w:p>
        </w:tc>
        <w:tc>
          <w:tcPr>
            <w:tcW w:type="dxa" w:w="1234"/>
          </w:tcPr>
          <w:p>
            <w:r>
              <w:t>15/20</w:t>
            </w:r>
          </w:p>
        </w:tc>
        <w:tc>
          <w:tcPr>
            <w:tcW w:type="dxa" w:w="1234"/>
          </w:tcPr>
          <w:p>
            <w:r>
              <w:t>−0.073</w:t>
            </w:r>
          </w:p>
        </w:tc>
        <w:tc>
          <w:tcPr>
            <w:tcW w:type="dxa" w:w="1234"/>
          </w:tcPr>
          <w:p>
            <w:r>
              <w:t>0.012</w:t>
            </w:r>
          </w:p>
        </w:tc>
        <w:tc>
          <w:tcPr>
            <w:tcW w:type="dxa" w:w="1234"/>
          </w:tcPr>
          <w:p>
            <w:r>
              <w:t>−0.621</w:t>
            </w:r>
          </w:p>
        </w:tc>
        <w:tc>
          <w:tcPr>
            <w:tcW w:type="dxa" w:w="1234"/>
          </w:tcPr>
          <w:p>
            <w:r>
              <w:t>0.198</w:t>
            </w:r>
          </w:p>
        </w:tc>
        <w:tc>
          <w:tcPr>
            <w:tcW w:type="dxa" w:w="1234"/>
          </w:tcPr>
          <w:p>
            <w:r>
              <w:t>Hayır</w:t>
            </w:r>
          </w:p>
        </w:tc>
      </w:tr>
      <w:tr>
        <w:tc>
          <w:tcPr>
            <w:tcW w:type="dxa" w:w="1234"/>
          </w:tcPr>
          <w:p>
            <w:r>
              <w:t>noisy</w:t>
            </w:r>
          </w:p>
        </w:tc>
        <w:tc>
          <w:tcPr>
            <w:tcW w:type="dxa" w:w="1234"/>
          </w:tcPr>
          <w:p>
            <w:r>
              <w:t>15/20</w:t>
            </w:r>
          </w:p>
        </w:tc>
        <w:tc>
          <w:tcPr>
            <w:tcW w:type="dxa" w:w="1234"/>
          </w:tcPr>
          <w:p>
            <w:r>
              <w:t>−0.044</w:t>
            </w:r>
          </w:p>
        </w:tc>
        <w:tc>
          <w:tcPr>
            <w:tcW w:type="dxa" w:w="1234"/>
          </w:tcPr>
          <w:p>
            <w:r>
              <w:t>0.020</w:t>
            </w:r>
          </w:p>
        </w:tc>
        <w:tc>
          <w:tcPr>
            <w:tcW w:type="dxa" w:w="1234"/>
          </w:tcPr>
          <w:p>
            <w:r>
              <w:t>−0.568</w:t>
            </w:r>
          </w:p>
        </w:tc>
        <w:tc>
          <w:tcPr>
            <w:tcW w:type="dxa" w:w="1234"/>
          </w:tcPr>
          <w:p>
            <w:r>
              <w:t>0.640</w:t>
            </w:r>
          </w:p>
        </w:tc>
        <w:tc>
          <w:tcPr>
            <w:tcW w:type="dxa" w:w="1234"/>
          </w:tcPr>
          <w:p>
            <w:r>
              <w:t>Hayır</w:t>
            </w:r>
          </w:p>
        </w:tc>
      </w:tr>
      <w:tr>
        <w:tc>
          <w:tcPr>
            <w:tcW w:type="dxa" w:w="1234"/>
          </w:tcPr>
          <w:p>
            <w:r>
              <w:t>lagged</w:t>
            </w:r>
          </w:p>
        </w:tc>
        <w:tc>
          <w:tcPr>
            <w:tcW w:type="dxa" w:w="1234"/>
          </w:tcPr>
          <w:p>
            <w:r>
              <w:t>18/20</w:t>
            </w:r>
          </w:p>
        </w:tc>
        <w:tc>
          <w:tcPr>
            <w:tcW w:type="dxa" w:w="1234"/>
          </w:tcPr>
          <w:p>
            <w:r>
              <w:t>−0.101</w:t>
            </w:r>
          </w:p>
        </w:tc>
        <w:tc>
          <w:tcPr>
            <w:tcW w:type="dxa" w:w="1234"/>
          </w:tcPr>
          <w:p>
            <w:r>
              <w:t>0.00064</w:t>
            </w:r>
          </w:p>
        </w:tc>
        <w:tc>
          <w:tcPr>
            <w:tcW w:type="dxa" w:w="1234"/>
          </w:tcPr>
          <w:p>
            <w:r>
              <w:t>−0.912</w:t>
            </w:r>
          </w:p>
        </w:tc>
        <w:tc>
          <w:tcPr>
            <w:tcW w:type="dxa" w:w="1234"/>
          </w:tcPr>
          <w:p>
            <w:r>
              <w:t>0.027</w:t>
            </w:r>
          </w:p>
        </w:tc>
        <w:tc>
          <w:tcPr>
            <w:tcW w:type="dxa" w:w="1234"/>
          </w:tcPr>
          <w:p>
            <w:r>
              <w:t>Evet</w:t>
            </w:r>
          </w:p>
        </w:tc>
      </w:tr>
      <w:tr>
        <w:tc>
          <w:tcPr>
            <w:tcW w:type="dxa" w:w="1234"/>
          </w:tcPr>
          <w:p>
            <w:r>
              <w:t>coarsened</w:t>
            </w:r>
          </w:p>
        </w:tc>
        <w:tc>
          <w:tcPr>
            <w:tcW w:type="dxa" w:w="1234"/>
          </w:tcPr>
          <w:p>
            <w:r>
              <w:t>15/20</w:t>
            </w:r>
          </w:p>
        </w:tc>
        <w:tc>
          <w:tcPr>
            <w:tcW w:type="dxa" w:w="1234"/>
          </w:tcPr>
          <w:p>
            <w:r>
              <w:t>−0.092</w:t>
            </w:r>
          </w:p>
        </w:tc>
        <w:tc>
          <w:tcPr>
            <w:tcW w:type="dxa" w:w="1234"/>
          </w:tcPr>
          <w:p>
            <w:r>
              <w:t>0.0088</w:t>
            </w:r>
          </w:p>
        </w:tc>
        <w:tc>
          <w:tcPr>
            <w:tcW w:type="dxa" w:w="1234"/>
          </w:tcPr>
          <w:p>
            <w:r>
              <w:t>−0.653</w:t>
            </w:r>
          </w:p>
        </w:tc>
        <w:tc>
          <w:tcPr>
            <w:tcW w:type="dxa" w:w="1234"/>
          </w:tcPr>
          <w:p>
            <w:r>
              <w:t>0.099</w:t>
            </w:r>
          </w:p>
        </w:tc>
        <w:tc>
          <w:tcPr>
            <w:tcW w:type="dxa" w:w="1234"/>
          </w:tcPr>
          <w:p>
            <w:r>
              <w:t>Hayır</w:t>
            </w:r>
          </w:p>
        </w:tc>
      </w:tr>
    </w:tbl>
    <w:p>
      <w:r>
        <w:t>Hedge — Yönsel vs pratik karakterizasyon: Yön dört koşulda da sağlamdır (paired t &lt; 0.05, dz orta-büyük). Ancak büyüklük yalnızca lagged koşulunda pratik anlamlılık eşiğini (δ = 0.05 Sharpe-benzeri) aşar (mean_diff = −0.101, TOST non-eşitlik p = 0.027). Diğer üç koşulda farkın 90% güven aralığı eşitlik bandına temas eder. Bu nedenle bölüm boyunca 'yönsel olarak sigma_only altında' ifadesi tercih edilmiş, 'tutarlı biçimde' veya 'zararlı' gibi nitelemelerden kaçınılmıştır.</w:t>
      </w:r>
    </w:p>
    <w:p>
      <w:r>
        <w:t>Bu örüntü pre-registered yönün tersidir: 'sigma bozuldukça rejim etiketleri faydalı hale gelir' değil, 'rejim etiketleri sigma ile birlikte sunulduğunda combined performansı yönsel olarak sigma_only'nin altına iter' biçiminde tezahür eder. Bu örüntüye bölüm boyunca **kategorik-kanal performans bozulması** (categorical-channel degradation) diye atıfta bulunulur. Bu, mekanizma yüklü değil, betimleyici bir etikettir.</w:t>
      </w:r>
    </w:p>
    <w:p>
      <w:pPr>
        <w:pStyle w:val="Heading2"/>
      </w:pPr>
      <w:r>
        <w:t>5.3 Yorumun Hassasiyeti: Anlam-Eşitliği vs Politika-Eşitliği</w:t>
      </w:r>
    </w:p>
    <w:p>
      <w:r>
        <w:t>İkinci bir tohum-eşleştirilmiş analiz, combined varyantının none-koşul davranışına (yani regime_only'ye) deterministik biçimde çöküp çökmediğini sınar. Cevap: hayır. Mean diff'ler dört koşulda da küçüktür (|mean_diff| ≤ 0.018, üç tanesinde işaret negatif), ancak varyans heterojendir.</w:t>
      </w:r>
    </w:p>
    <w:p>
      <w:r>
        <w:drawing>
          <wp:inline xmlns:a="http://schemas.openxmlformats.org/drawingml/2006/main" xmlns:pic="http://schemas.openxmlformats.org/drawingml/2006/picture">
            <wp:extent cx="5029200" cy="5354675"/>
            <wp:docPr id="12" name="Picture 12"/>
            <wp:cNvGraphicFramePr>
              <a:graphicFrameLocks noChangeAspect="1"/>
            </wp:cNvGraphicFramePr>
            <a:graphic>
              <a:graphicData uri="http://schemas.openxmlformats.org/drawingml/2006/picture">
                <pic:pic>
                  <pic:nvPicPr>
                    <pic:cNvPr id="0" name="paired_seed_combined_vs_regime.png"/>
                    <pic:cNvPicPr/>
                  </pic:nvPicPr>
                  <pic:blipFill>
                    <a:blip r:embed="rId20"/>
                    <a:stretch>
                      <a:fillRect/>
                    </a:stretch>
                  </pic:blipFill>
                  <pic:spPr>
                    <a:xfrm>
                      <a:off x="0" y="0"/>
                      <a:ext cx="5029200" cy="5354675"/>
                    </a:xfrm>
                    <a:prstGeom prst="rect"/>
                  </pic:spPr>
                </pic:pic>
              </a:graphicData>
            </a:graphic>
          </wp:inline>
        </w:drawing>
      </w:r>
    </w:p>
    <w:p>
      <w:r>
        <w:t>Şekil 12. Tohum-bazında combined vs regime_only karşılaştırması (her panel bir koşul, her nokta bir tohum, n = 20). Şekil 11'in aksine noktalar y = x etrafında dağılır; ortalama farklar küçüktür ancak tohum-bazında eşleşme deterministik değildir — policy'ler aynı per-tohum fonksiyonu öğrenmemektedir.</w:t>
      </w:r>
    </w:p>
    <w:p>
      <w:r>
        <w:t>Tablo 11. combined vs regime_only — Eşleştirilmiş Tohum İstatistikleri ve Varyans Yan-Çıktısı</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Koşul</w:t>
            </w:r>
          </w:p>
        </w:tc>
        <w:tc>
          <w:tcPr>
            <w:tcW w:type="dxa" w:w="1234"/>
          </w:tcPr>
          <w:p>
            <w:r>
              <w:rPr>
                <w:b/>
              </w:rPr>
              <w:t>mean_diff</w:t>
            </w:r>
          </w:p>
        </w:tc>
        <w:tc>
          <w:tcPr>
            <w:tcW w:type="dxa" w:w="1234"/>
          </w:tcPr>
          <w:p>
            <w:r>
              <w:rPr>
                <w:b/>
              </w:rPr>
              <w:t>paired t p</w:t>
            </w:r>
          </w:p>
        </w:tc>
        <w:tc>
          <w:tcPr>
            <w:tcW w:type="dxa" w:w="1234"/>
          </w:tcPr>
          <w:p>
            <w:r>
              <w:rPr>
                <w:b/>
              </w:rPr>
              <w:t>TOST p (eşitlik)</w:t>
            </w:r>
          </w:p>
        </w:tc>
        <w:tc>
          <w:tcPr>
            <w:tcW w:type="dxa" w:w="1234"/>
          </w:tcPr>
          <w:p>
            <w:r>
              <w:rPr>
                <w:b/>
              </w:rPr>
              <w:t>std_combined</w:t>
            </w:r>
          </w:p>
        </w:tc>
        <w:tc>
          <w:tcPr>
            <w:tcW w:type="dxa" w:w="1234"/>
          </w:tcPr>
          <w:p>
            <w:r>
              <w:rPr>
                <w:b/>
              </w:rPr>
              <w:t>std_regime_only</w:t>
            </w:r>
          </w:p>
        </w:tc>
        <w:tc>
          <w:tcPr>
            <w:tcW w:type="dxa" w:w="1234"/>
          </w:tcPr>
          <w:p>
            <w:r>
              <w:rPr>
                <w:b/>
              </w:rPr>
              <w:t>std_diff</w:t>
            </w:r>
          </w:p>
        </w:tc>
      </w:tr>
      <w:tr>
        <w:tc>
          <w:tcPr>
            <w:tcW w:type="dxa" w:w="1234"/>
          </w:tcPr>
          <w:p>
            <w:r>
              <w:t>full</w:t>
            </w:r>
          </w:p>
        </w:tc>
        <w:tc>
          <w:tcPr>
            <w:tcW w:type="dxa" w:w="1234"/>
          </w:tcPr>
          <w:p>
            <w:r>
              <w:t>−0.009</w:t>
            </w:r>
          </w:p>
        </w:tc>
        <w:tc>
          <w:tcPr>
            <w:tcW w:type="dxa" w:w="1234"/>
          </w:tcPr>
          <w:p>
            <w:r>
              <w:t>0.791</w:t>
            </w:r>
          </w:p>
        </w:tc>
        <w:tc>
          <w:tcPr>
            <w:tcW w:type="dxa" w:w="1234"/>
          </w:tcPr>
          <w:p>
            <w:r>
              <w:t>0.128</w:t>
            </w:r>
          </w:p>
        </w:tc>
        <w:tc>
          <w:tcPr>
            <w:tcW w:type="dxa" w:w="1234"/>
          </w:tcPr>
          <w:p>
            <w:r>
              <w:t>0.130</w:t>
            </w:r>
          </w:p>
        </w:tc>
        <w:tc>
          <w:tcPr>
            <w:tcW w:type="dxa" w:w="1234"/>
          </w:tcPr>
          <w:p>
            <w:r>
              <w:t>0.143</w:t>
            </w:r>
          </w:p>
        </w:tc>
        <w:tc>
          <w:tcPr>
            <w:tcW w:type="dxa" w:w="1234"/>
          </w:tcPr>
          <w:p>
            <w:r>
              <w:t>0.155</w:t>
            </w:r>
          </w:p>
        </w:tc>
      </w:tr>
      <w:tr>
        <w:tc>
          <w:tcPr>
            <w:tcW w:type="dxa" w:w="1234"/>
          </w:tcPr>
          <w:p>
            <w:r>
              <w:t>noisy</w:t>
            </w:r>
          </w:p>
        </w:tc>
        <w:tc>
          <w:tcPr>
            <w:tcW w:type="dxa" w:w="1234"/>
          </w:tcPr>
          <w:p>
            <w:r>
              <w:t>+0.013</w:t>
            </w:r>
          </w:p>
        </w:tc>
        <w:tc>
          <w:tcPr>
            <w:tcW w:type="dxa" w:w="1234"/>
          </w:tcPr>
          <w:p>
            <w:r>
              <w:t>0.685</w:t>
            </w:r>
          </w:p>
        </w:tc>
        <w:tc>
          <w:tcPr>
            <w:tcW w:type="dxa" w:w="1234"/>
          </w:tcPr>
          <w:p>
            <w:r>
              <w:t>0.137</w:t>
            </w:r>
          </w:p>
        </w:tc>
        <w:tc>
          <w:tcPr>
            <w:tcW w:type="dxa" w:w="1234"/>
          </w:tcPr>
          <w:p>
            <w:r>
              <w:t>0.134</w:t>
            </w:r>
          </w:p>
        </w:tc>
        <w:tc>
          <w:tcPr>
            <w:tcW w:type="dxa" w:w="1234"/>
          </w:tcPr>
          <w:p>
            <w:r>
              <w:t>0.143</w:t>
            </w:r>
          </w:p>
        </w:tc>
        <w:tc>
          <w:tcPr>
            <w:tcW w:type="dxa" w:w="1234"/>
          </w:tcPr>
          <w:p>
            <w:r>
              <w:t>0.145</w:t>
            </w:r>
          </w:p>
        </w:tc>
      </w:tr>
      <w:tr>
        <w:tc>
          <w:tcPr>
            <w:tcW w:type="dxa" w:w="1234"/>
          </w:tcPr>
          <w:p>
            <w:r>
              <w:t>lagged</w:t>
            </w:r>
          </w:p>
        </w:tc>
        <w:tc>
          <w:tcPr>
            <w:tcW w:type="dxa" w:w="1234"/>
          </w:tcPr>
          <w:p>
            <w:r>
              <w:t>−0.018</w:t>
            </w:r>
          </w:p>
        </w:tc>
        <w:tc>
          <w:tcPr>
            <w:tcW w:type="dxa" w:w="1234"/>
          </w:tcPr>
          <w:p>
            <w:r>
              <w:t>0.535</w:t>
            </w:r>
          </w:p>
        </w:tc>
        <w:tc>
          <w:tcPr>
            <w:tcW w:type="dxa" w:w="1234"/>
          </w:tcPr>
          <w:p>
            <w:r>
              <w:t>0.136</w:t>
            </w:r>
          </w:p>
        </w:tc>
        <w:tc>
          <w:tcPr>
            <w:tcW w:type="dxa" w:w="1234"/>
          </w:tcPr>
          <w:p>
            <w:r>
              <w:t>0.114</w:t>
            </w:r>
          </w:p>
        </w:tc>
        <w:tc>
          <w:tcPr>
            <w:tcW w:type="dxa" w:w="1234"/>
          </w:tcPr>
          <w:p>
            <w:r>
              <w:t>0.143</w:t>
            </w:r>
          </w:p>
        </w:tc>
        <w:tc>
          <w:tcPr>
            <w:tcW w:type="dxa" w:w="1234"/>
          </w:tcPr>
          <w:p>
            <w:r>
              <w:t>0.127</w:t>
            </w:r>
          </w:p>
        </w:tc>
      </w:tr>
      <w:tr>
        <w:tc>
          <w:tcPr>
            <w:tcW w:type="dxa" w:w="1234"/>
          </w:tcPr>
          <w:p>
            <w:r>
              <w:t>coarsened</w:t>
            </w:r>
          </w:p>
        </w:tc>
        <w:tc>
          <w:tcPr>
            <w:tcW w:type="dxa" w:w="1234"/>
          </w:tcPr>
          <w:p>
            <w:r>
              <w:t>−0.008</w:t>
            </w:r>
          </w:p>
        </w:tc>
        <w:tc>
          <w:tcPr>
            <w:tcW w:type="dxa" w:w="1234"/>
          </w:tcPr>
          <w:p>
            <w:r>
              <w:t>0.814</w:t>
            </w:r>
          </w:p>
        </w:tc>
        <w:tc>
          <w:tcPr>
            <w:tcW w:type="dxa" w:w="1234"/>
          </w:tcPr>
          <w:p>
            <w:r>
              <w:t>0.123</w:t>
            </w:r>
          </w:p>
        </w:tc>
        <w:tc>
          <w:tcPr>
            <w:tcW w:type="dxa" w:w="1234"/>
          </w:tcPr>
          <w:p>
            <w:r>
              <w:t>0.177</w:t>
            </w:r>
          </w:p>
        </w:tc>
        <w:tc>
          <w:tcPr>
            <w:tcW w:type="dxa" w:w="1234"/>
          </w:tcPr>
          <w:p>
            <w:r>
              <w:t>0.143</w:t>
            </w:r>
          </w:p>
        </w:tc>
        <w:tc>
          <w:tcPr>
            <w:tcW w:type="dxa" w:w="1234"/>
          </w:tcPr>
          <w:p>
            <w:r>
              <w:t>0.156</w:t>
            </w:r>
          </w:p>
        </w:tc>
      </w:tr>
    </w:tbl>
    <w:p>
      <w:r>
        <w:t>TOST eşitliği δ = 0.05 düzeyinde **n = 20 tohumda formel olarak kurulamamıştır** (tost_p ≈ 0.12–0.14, dört koşulda da α = 0.05'i geçmez). Gözlenen std_diff ≈ 0.13–0.16 ile bu tasarım mevcut tohum sayısında ancak yaklaşık ±0.07–0.08 büyüklüğündeki minimum tespit edilebilir eşitlik bandını saptayabilir; ±0.05 değil. Bu nedenle Şekil 12 sonucu 'underpowered, etkinin yokluğu değil' olarak okunmalıdır. Muhafazakâr ifade: 'combined ortalaması, regime_only ortalamasından yaklaşık ±0.07 bandında ayırt edilemezdir' — 'δ = 0.05'te eşittir' DEĞİL.</w:t>
      </w:r>
    </w:p>
    <w:p>
      <w:r>
        <w:t>Varyans yan-çıktısı eşitlik tablosunu zenginleştirir: std_diff &gt; std_regime_only dört koşulun üçünde (full, noisy, coarsened) gözlenir. Bu, combined ile regime_only policy'lerinin tohum-eşleşmiş düzeyde aynı fonksiyonu öğrenmediğine işaret eder; etki anlam-düzeyinde eşitliğe yakın olsa da policy-düzeyinde eşitliğe değildir. coarsened panelinde std_combined = 0.177 ile en yüksek değere ulaşır; bu, panel üzerinde görülen birkaç yüksek-Sharpe tohumdan kaynaklanmaktadır.</w:t>
      </w:r>
    </w:p>
    <w:p>
      <w:r>
        <w:t>Mekanizma kimliklendirilmemiştir. Veri çeşitli olası mekanizmalarla (gradyan girişimi, kapasite tahsisi, optimizasyon gürültüsü, veya başka faktörler) tutarlıdır; ancak bu deneyden tek başına hangi mekanizmanın işlediği saptanamaz. Bu nedenle bölüm boyunca 'kategorik-kanal performans bozulması' betimleyici etiketi kullanılmış; mekanizma yüklü terimlerden (örn. 'representation-level effect', 'encoding-interference') kaçınılmıştır. Mekanizma ayrımı, bu deneyin kapsamı dışında kalan ek deneylerle (örn. ablation study, gradient norm tracking, ya da Bayesian linear probing) ele alınmalıdır.</w:t>
      </w:r>
    </w:p>
    <w:p>
      <w:r>
        <w:t>Kapanış: Explicit rejim etiketleri ancak rejim sinyali gözlem uzayında halihazırda örtük olarak mevcut değilse fayda sağlamaktadır — bu, WP5 ana null sonucunun ifadesidir (Bulgu 2). WP6, σ̂_t bozulduğunda dahi kategorik kanalın yarar kazanmadığını ve bu deneysel ortamda sürekli kanalın yanına eklendiğinde performansı yönsel olarak düşürdüğünü göstererek bu bulguyu genişletmektedir. 'Bu deneysel ortamda' kaydı bilinçli bir savunma kaydıdır: bulgu Karar #46'da belirlenen kalibrasyon bandına ilişkindir; kategorik kanalın faydalı olabileceği daha agresif bozulma rejimleri gelecek çalışmaya bırakılmıştır.</w:t>
      </w:r>
    </w:p>
    <w:p>
      <w:pPr>
        <w:pStyle w:val="Heading1"/>
      </w:pPr>
      <w:r>
        <w:t>6.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Sharpe bazında istatistiksel olarak anlamlı fark gözlemlenmemiştir (paired t-test p = 0.261); equity metriğinde ppo_blind lehine anlamlı fark mevcuttur (p = 0.023). Bu null sonuç, gözlem uzayında hali hazırda bulunan σ̂_t'nin rejim bilgisini örtük olarak içermesiyle açıklanmaktadır.</w:t>
      </w:r>
    </w:p>
    <w:p>
      <w:r>
        <w:t>Bulgu 3 — Pure Ablation (Sinyal Yedekliliği Testi): ppo_sigma_only en yüksek performansı elde etmiştir — mükemmel rejim etiketlerine sahip oracle_full ajanı dahi sigma_only'yi Sharpe bazında istatistiksel olarak anlamlı biçimde geçememiştir (p = 0.115). Bonferroni-düzeltilmiş eşik altında equity farkı da istatistiksel olarak anlamlı kabul edilmemiştir.</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r>
        <w:t>Bulgu 7: Sinyal informativeness sweep'i (WP6), sigma_hat'in bozulduğu rejimlerde explicit kategorik regime label'larının değer kazanacağı hipotezini reddetti. Test edilen kalibrasyon aralığında, kategorik kanal sigma_only baseline'ının altına yönsel olarak çekti (tüm dört informative condition'da Cohen's dz arası -0.57 ile -0.91; pratik anlamlılık δ=0.05 yalnızca lagged condition'da). Kategorik ve sürekli kanalların birlikte kullanılması, bu deneysel ortamda performansı iyileştirmedi.</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ListParagraph"/>
      </w:pPr>
      <w:r>
        <w:t>(4) Daha agresif sinyal bozulması: WP6 sweep'i kalibrasyon aralığında (α=0.40 noisy, k=20 lagged, coarsened binning) sigma_hat'in monotonic decay'ini göstermedi. Daha agresif bozulmalar (örn. α=0.80, k=50) bu çalışmanın kapsamı dışındadır; kategorik kanalın değer kazandığı bir rejim mevcutsa, bu aralıkta ortaya çıkabilir.</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src/wp5/figure_thesis_23.py</w:t>
            </w:r>
          </w:p>
        </w:tc>
        <w:tc>
          <w:tcPr>
            <w:tcW w:type="dxa" w:w="4320"/>
          </w:tcPr>
          <w:p>
            <w:r>
              <w:t>Model misspecification ve eta-regime ek figürlerinin üretimi (legacy dosya adı korunmuştur)</w:t>
            </w:r>
          </w:p>
        </w:tc>
      </w:tr>
      <w:tr>
        <w:tc>
          <w:tcPr>
            <w:tcW w:type="dxa" w:w="4320"/>
          </w:tcPr>
          <w:p>
            <w:r>
              <w:t>src/wp5/stats_detector_robustness.py</w:t>
            </w:r>
          </w:p>
        </w:tc>
        <w:tc>
          <w:tcPr>
            <w:tcW w:type="dxa" w:w="4320"/>
          </w:tcPr>
          <w:p>
            <w:r>
              <w:t>İstatistiksel testler (paired t-test ve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