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Mayıs 2026 — Sürüm 29</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yalnızca istatistiksel olarak desteklenmemekle kalmamış; ppo_sigma_only ile ppo_oracle_full'un Sharpe performansları TOST eşdeğerlik testi ile pratik olarak eşdeğer bulunmuştur (TOST p&lt;0.05, ±0.10 sınır).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Sinyal informativeness sweep'i (WP6), kategorik regime label'larının sigma_hat sürekli sinyali zayıfladığında dahi performansı iyileştirmediğini, hatta birlikte kullanıldığında yönsel olarak düşürdüğünü göstermiştir. Buna eklenen post-hoc tanı analizleri, observed categorical labels'ın source-calibrated sigma_hat'ten yüksek doğrulukla recover edilebildiğini ve sigma_hat gözlendikten sonra sınırlı incremental predictive value sunduğunu göstererek sinyal-yedekliliği yorumunu daha da desteklemektedir.</w:t>
      </w:r>
    </w:p>
    <w:p>
      <w:r>
        <w:t>Anahtar kelimeler: piyasa yapıcılığı, pekiştirmeli öğrenme, PPO, volatilite rejimleri, Avellaneda-Stoikov, ablasyon, oracle agent, sinyal yedekliliği, post-hoc tanı analizleri,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r>
        <w:t>Not: rv_dwell offline bir dwell smoothing kullanır ve etiket kararı verilirken sınırlı bir ileri tarama içerir (en fazla min_dwell adım); bu nedenle rv_dwell doğruluk değeri kausal bir üst sınır olarak okunmalıdır. Bu sınırlama yalnızca §3.3 ve §4.6'da raporlanan rv_dwell metriklerini etkiler; tezde raporlanan tüm ana boru hatları — WP4 pilot, WP5 OOS değerlendirmesi ve WP6 sweep — kausal rv_baseline detector'ı kullandığından, Bulgu 1-7 bu sınırlamadan etkilenmemiştir.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 Tezde raporlanan tüm PPO performans değerleri, kronolojik 70/30 eğitim/test bölünmesi (n_train=5600, n_test=2400) ile çalışan WP5 OOS değerlendirme boru hattından (src/wp5/job_w5_eval.py) elde edilmiştir. WP4 yalnızca PPO eğitim altyapısı için bir pilot olarak hizmet etmiştir ve raporlanan sonuçların kaynağı değildir.</w:t>
      </w:r>
    </w:p>
    <w:p>
      <w:pPr>
        <w:pStyle w:val="Heading2"/>
      </w:pPr>
      <w:r>
        <w:t>3.9 Post-hoc Signal Redundancy Diagnostics</w:t>
      </w:r>
    </w:p>
    <w:p>
      <w:r>
        <w:t>WP5 ve WP6 ana deneylerinden sonra, sinyal yedekliliği yorumunu desteklemek için hafif post-hoc tanı analizleri yürütülmüştür. Bu analizler yeni bir RL projesi veya yeni bir eğitim aşaması değildir: yalnızca donmuş WP2/WP5/WP6 artifact'ları ve docs/internal/posthoc_signal_analysis/ altındaki yeni özet çıktıları kullanılmıştır. PPO yeniden eğitilmemiş, WP5/WP6 yeniden koşturulmamış ve korumalı evidence CSV/figure artifact'ları değiştirilmemiştir.</w:t>
      </w:r>
    </w:p>
    <w:p>
      <w:r>
        <w:t>Amaç, 'sigma_hat explicit kategorik rejim etiketlerinin ekonomik olarak ilgili bilgisinin çoğunu zaten taşıyor olabilir' yorumuna mekanik destek sağlamaktır; bu analizler birincil keşif deneyi veya causal PPO iç-mekanizma kanıtı olarak tasarlanmamıştır. source_manifest.csv, kullanılan 11 benzersiz WP2-style sentetik kaynağı listeler; action_curve_alignment.csv ise yalnızca donmuş curve/snapshot hizalaması doğrulanan action curve'lerinin kullanıldığını kayda geçirir.</w:t>
      </w:r>
    </w:p>
    <w:p>
      <w:r>
        <w:t>Üç tanı bloğu uygulanmıştır: (A) regime_hat etiketinin yalnızca sigma_hat ile tahmin edilebilirliği; (B) sigma_hat gözlendikten sonra regime_hat'in gelecek mutlak mid-return için ek tahmin değeri; (C) PPO'nun seçtiği half-spread h ve skew m eylemlerinde, sigma_hat'e eklenen explicit label değişkenlerinin açıklayıcı katkısı. Tüm split'ler kronolojik train/test mantığını korur ve geleceğe bilgi sızıntısı yaratmayacak şekilde kurulmuştur.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Blok</w:t>
            </w:r>
          </w:p>
        </w:tc>
        <w:tc>
          <w:tcPr>
            <w:tcW w:type="dxa" w:w="2880"/>
          </w:tcPr>
          <w:p>
            <w:r>
              <w:rPr>
                <w:b/>
              </w:rPr>
              <w:t>Girdi / Hedef</w:t>
            </w:r>
          </w:p>
        </w:tc>
        <w:tc>
          <w:tcPr>
            <w:tcW w:type="dxa" w:w="2880"/>
          </w:tcPr>
          <w:p>
            <w:r>
              <w:rPr>
                <w:b/>
              </w:rPr>
              <w:t>Yorum</w:t>
            </w:r>
          </w:p>
        </w:tc>
      </w:tr>
      <w:tr>
        <w:tc>
          <w:tcPr>
            <w:tcW w:type="dxa" w:w="2880"/>
          </w:tcPr>
          <w:p>
            <w:r>
              <w:t>A</w:t>
            </w:r>
          </w:p>
        </w:tc>
        <w:tc>
          <w:tcPr>
            <w:tcW w:type="dxa" w:w="2880"/>
          </w:tcPr>
          <w:p>
            <w:r>
              <w:t>sigma_hat -&gt; regime_hat</w:t>
            </w:r>
          </w:p>
        </w:tc>
        <w:tc>
          <w:tcPr>
            <w:tcW w:type="dxa" w:w="2880"/>
          </w:tcPr>
          <w:p>
            <w:r>
              <w:t>Observed kategorik etiketin continuous volatility signal'dan ne ölçüde recover edilebildiği.</w:t>
            </w:r>
          </w:p>
        </w:tc>
      </w:tr>
      <w:tr>
        <w:tc>
          <w:tcPr>
            <w:tcW w:type="dxa" w:w="2880"/>
          </w:tcPr>
          <w:p>
            <w:r>
              <w:t>B</w:t>
            </w:r>
          </w:p>
        </w:tc>
        <w:tc>
          <w:tcPr>
            <w:tcW w:type="dxa" w:w="2880"/>
          </w:tcPr>
          <w:p>
            <w:r>
              <w:t>target ~ sigma_hat vs target ~ sigma_hat + regime_hat</w:t>
            </w:r>
          </w:p>
        </w:tc>
        <w:tc>
          <w:tcPr>
            <w:tcW w:type="dxa" w:w="2880"/>
          </w:tcPr>
          <w:p>
            <w:r>
              <w:t>Explicit label'ın sigma_hat sonrası held-out predictive contribution ölçümü.</w:t>
            </w:r>
          </w:p>
        </w:tc>
      </w:tr>
      <w:tr>
        <w:tc>
          <w:tcPr>
            <w:tcW w:type="dxa" w:w="2880"/>
          </w:tcPr>
          <w:p>
            <w:r>
              <w:t>C</w:t>
            </w:r>
          </w:p>
        </w:tc>
        <w:tc>
          <w:tcPr>
            <w:tcW w:type="dxa" w:w="2880"/>
          </w:tcPr>
          <w:p>
            <w:r>
              <w:t>action ~ sigma_hat vs action ~ sigma_hat + regime_hat</w:t>
            </w:r>
          </w:p>
        </w:tc>
        <w:tc>
          <w:tcPr>
            <w:tcW w:type="dxa" w:w="2880"/>
          </w:tcPr>
          <w:p>
            <w:r>
              <w:t>Eylem düzeyinde incremental explanatory gain; causal PPO mechanism proof değildir.</w:t>
            </w:r>
          </w:p>
        </w:tc>
      </w:tr>
    </w:tbl>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br w:type="page"/>
      </w:r>
    </w:p>
    <w:p>
      <w:r>
        <w:drawing>
          <wp:inline xmlns:a="http://schemas.openxmlformats.org/drawingml/2006/main" xmlns:pic="http://schemas.openxmlformats.org/drawingml/2006/picture">
            <wp:extent cx="5029200" cy="156457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1"/>
                    <a:stretch>
                      <a:fillRect/>
                    </a:stretch>
                  </pic:blipFill>
                  <pic:spPr>
                    <a:xfrm>
                      <a:off x="0" y="0"/>
                      <a:ext cx="5029200" cy="1564577"/>
                    </a:xfrm>
                    <a:prstGeom prst="rect"/>
                  </pic:spPr>
                </pic:pic>
              </a:graphicData>
            </a:graphic>
          </wp:inline>
        </w:drawing>
      </w:r>
    </w:p>
    <w:p>
      <w:r>
        <w:t>Şekil 3. Beş PPO varyantı için pure ablation özeti (20 tohum, ortalama ± std). Sol panel Sharpe, orta panel final equity, sağ panel inv_p99 değerlerini göstermektedir. AS ve naive referansları bu görsele dahil edilmemiştir; amaç explicit rejim etiketi, oracle rejim etiketi ve sigma_hat sinyalinin marjinal katkısını PPO varyantları içinde doğrudan karşılaştırmaktır.</w:t>
      </w:r>
    </w:p>
    <w:p>
      <w:r>
        <w:t>Bu görsel, Tablo 2'deki ana örüntüyü özetlemektedir: sigma_only en yüksek Sharpe ortalamasına sahiptir ve oracle_full ya da combined varyantlarının üzerinde anlamlı bir iyileşme gözlenmemektedir. Bu desen, explicit rejim etiketinin sigma_hat üzerinde ek risk-adjusted bilgi taşımadığı yönündeki signal redundancy yorumuyla uyumludur.</w:t>
      </w:r>
    </w:p>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r>
        <w:t>TOST equivalence test (bounds ±0.10) confirms practical equivalence between ppo_sigma_only and ppo_oracle_full (p=0.00067). The 90% confidence interval for the Sharpe difference is [−0.001, +0.063] — this is the CI that corresponds to the TOST procedure at α=0.05 and it lies entirely within the ±0.10 equivalence bound. The wider 95% CI [−0.008, +0.069] is also contained within the bound. This provides positive evidence that the performance difference is practically negligible, not merely statistically inconclusive.</w:t>
      </w:r>
    </w:p>
    <w:p>
      <w:r>
        <w:drawing>
          <wp:inline xmlns:a="http://schemas.openxmlformats.org/drawingml/2006/main" xmlns:pic="http://schemas.openxmlformats.org/drawingml/2006/picture">
            <wp:extent cx="5029200" cy="2402582"/>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2"/>
                    <a:stretch>
                      <a:fillRect/>
                    </a:stretch>
                  </pic:blipFill>
                  <pic:spPr>
                    <a:xfrm>
                      <a:off x="0" y="0"/>
                      <a:ext cx="5029200" cy="2402582"/>
                    </a:xfrm>
                    <a:prstGeom prst="rect"/>
                  </pic:spPr>
                </pic:pic>
              </a:graphicData>
            </a:graphic>
          </wp:inline>
        </w:drawing>
      </w:r>
    </w:p>
    <w:p>
      <w:r>
        <w:t>Şekil 4. Oracle paradoksunun seed bazında görselleştirilmesi. Sol panel doğrudan karşılaştırmayı gösterir: ppo_sigma_only ile ppo_oracle_full Sharpe değerleri aynı test seed'leri üzerinde eşleştirilmiştir (paired t-test p = 0.115). Sağ panel oracle_full ile combined varyantlarını karşılaştırır (p = 0.301). Kesikli çizgi y=x referansıdır.</w:t>
      </w:r>
    </w:p>
    <w:p>
      <w:r>
        <w:t>Bu şeklin birincil yorumu sol paneldir: mükemmel rejim etiketlerine sahip oracle_full, sigma_only varyantını Sharpe bazında istatistiksel olarak anlamlı biçimde geçememektedir. Dolayısıyla oracle varyantı, dedektör gürültüsü eleştirisini sınırlayan güçlü bir üst-sınır testi sunar; ancak p=0.115 sonucu, kanıtı deterministik bir eşdeğerlik iddiası olarak değil, anlamlı üstünlük bulunmaması olarak yorumlanmalıdır.</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5_action_analysis.png"/>
                    <pic:cNvPicPr/>
                  </pic:nvPicPr>
                  <pic:blipFill>
                    <a:blip r:embed="rId13"/>
                    <a:stretch>
                      <a:fillRect/>
                    </a:stretch>
                  </pic:blipFill>
                  <pic:spPr>
                    <a:xfrm>
                      <a:off x="0" y="0"/>
                      <a:ext cx="5029200" cy="3017520"/>
                    </a:xfrm>
                    <a:prstGeom prst="rect"/>
                  </pic:spPr>
                </pic:pic>
              </a:graphicData>
            </a:graphic>
          </wp:inline>
        </w:drawing>
      </w:r>
    </w:p>
    <w:p>
      <w:r>
        <w:t>Şekil 5.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6" name="Picture 6"/>
            <wp:cNvGraphicFramePr>
              <a:graphicFrameLocks noChangeAspect="1"/>
            </wp:cNvGraphicFramePr>
            <a:graphic>
              <a:graphicData uri="http://schemas.openxmlformats.org/drawingml/2006/picture">
                <pic:pic>
                  <pic:nvPicPr>
                    <pic:cNvPr id="0" name="fig3_regime_sharpe.png"/>
                    <pic:cNvPicPr/>
                  </pic:nvPicPr>
                  <pic:blipFill>
                    <a:blip r:embed="rId14"/>
                    <a:stretch>
                      <a:fillRect/>
                    </a:stretch>
                  </pic:blipFill>
                  <pic:spPr>
                    <a:xfrm>
                      <a:off x="0" y="0"/>
                      <a:ext cx="5029200" cy="1970903"/>
                    </a:xfrm>
                    <a:prstGeom prst="rect"/>
                  </pic:spPr>
                </pic:pic>
              </a:graphicData>
            </a:graphic>
          </wp:inline>
        </w:drawing>
      </w:r>
    </w:p>
    <w:p>
      <w:r>
        <w:t>Şekil 6.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7" name="Picture 7"/>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029200" cy="3111285"/>
                    </a:xfrm>
                    <a:prstGeom prst="rect"/>
                  </pic:spPr>
                </pic:pic>
              </a:graphicData>
            </a:graphic>
          </wp:inline>
        </w:drawing>
      </w:r>
    </w:p>
    <w:p>
      <w:r>
        <w:t>Şekil 7.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drawing>
          <wp:inline xmlns:a="http://schemas.openxmlformats.org/drawingml/2006/main" xmlns:pic="http://schemas.openxmlformats.org/drawingml/2006/picture">
            <wp:extent cx="5029200" cy="2090791"/>
            <wp:docPr id="8" name="Picture 8"/>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029200" cy="2090791"/>
                    </a:xfrm>
                    <a:prstGeom prst="rect"/>
                  </pic:spPr>
                </pic:pic>
              </a:graphicData>
            </a:graphic>
          </wp:inline>
        </w:drawing>
      </w:r>
    </w:p>
    <w:p>
      <w:r>
        <w:t>Şekil 8. Rejime koşullu envanter cezası deneyinde PPO varyantlarının Sharpe ve final equity sonuçları (20 tohum, ortalama ± std). Görsel, sigma_only ile combined varyantları arasındaki eşleştirilmiş karşılaştırmayı özellikle vurgular: Sharpe için p = 0.0016, final equity için p = 0.008.</w:t>
      </w:r>
    </w:p>
    <w:p>
      <w:r>
        <w:t>Bu görsel, rejime koşullu ödül tasarımının explicit rejim etiketini faydalı hale getirmediğini göstermektedir. combined varyantı hem sigma_hat hem tahmini rejim etiketini gözlemlerken, sigma_only Sharpe bazında istatistiksel olarak daha güçlü kalmaktadır. Bu sonuç ödül kanalı üzerinden yapılan rejim hassaslaştırmasının signal redundancy yorumunu ortadan kaldırmadığını destekler.</w:t>
      </w:r>
    </w:p>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Ortam uyarısı (retrospektif not): Bu misspec-mild deneyleri tez yazım sürecinin erken bir aşamasında yürütüldüğünden, rejim parametreleri §3.1'de tanımlanan kanonik ortamla birebir örtüşmemektedir. Misspec-mild koşuları sigma_mult = [0.5, 1.0, 2.0] ve warmup_steps = 400 ile üretilmiştir; kanonik değerler ise sigma_mult = [0.6, 1.0, 1.8] ve warmup_steps = 1000'dir. Bu sapma WP5.5 sinyal denetimi öncesinde yapılan sanity-check sırasında tespit edilmiş, hesaplama maliyeti nedeniyle kanonik parametrelerle yeniden üretim gerçekleştirilmemiştir (bkz. Decisions Log #42, #45). Okuyucunun aşağıdaki tablo ve istatistiklerin bu daha agresif rejim-oranı ortamına ait olduğunu göz önünde bulundurması gerekir; ana null bulgusu (sigma_only ≈ oracle_full) her iki parametre setinde de aynı yönde raporlanmaktadır.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drawing>
          <wp:inline xmlns:a="http://schemas.openxmlformats.org/drawingml/2006/main" xmlns:pic="http://schemas.openxmlformats.org/drawingml/2006/picture">
            <wp:extent cx="5029200" cy="2842591"/>
            <wp:docPr id="9" name="Picture 9"/>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029200" cy="2842591"/>
                    </a:xfrm>
                    <a:prstGeom prst="rect"/>
                  </pic:spPr>
                </pic:pic>
              </a:graphicData>
            </a:graphic>
          </wp:inline>
        </w:drawing>
      </w:r>
    </w:p>
    <w:p>
      <w:r>
        <w:t>Şekil 9. Mild model misspecification ortamında PPO varyantlarının Sharpe karşılaştırması (20 tohum, ortalama ± std). Fill parametreleri A ve k rejime bağlı olacak şekilde değiştirilmiştir; sigma_only ile oracle_full arasındaki eşleştirilmiş Sharpe karşılaştırması p = 0.881'dir.</w:t>
      </w:r>
    </w:p>
    <w:p>
      <w:r>
        <w:t>Bu görsel, model misspecification sonucunu özetlemektedir: rejime bağlı A/k altında sigma_only ve oracle_full neredeyse aynı Sharpe düzeyinde kalmaktadır. Bu bulgu yalnızca bu mild misspecification tasarımı için bir robustness sonucu olarak yorumlanmalıdır; tüm piyasa model yanlış belirlemeleri altında evrensel eşdeğerlik iddiası değildir.</w:t>
      </w:r>
    </w:p>
    <w:p>
      <w:r>
        <w:t>Eşleştirilmiş t-testi sonuçları: ppo_sigma_only vs ppo_oracle_full: p=0.881; ppo_sigma_only vs ppo_combined: p=0.217; ppo_sigma_only vs ppo_oracle_pure: p=0.098. Hiçbir karşılaştırma istatistiksel anlamlılık eşiğine ulaşmamıştır.</w:t>
      </w:r>
    </w:p>
    <w:p>
      <w:r>
        <w:t>TOST equivalence test (bounds ±0.05) further confirms practical equivalence under model misspecification (p=0.042). The 90% confidence interval [−0.040, +0.048] — the CI corresponding to the TOST procedure at α=0.05 — lies entirely within the ±0.05 equivalence bound. The wider 95% CI [−0.049, +0.057] remains within the ±0.10 bound. Cohen's d = 0.034 indicates negligible effect size, strengthening the signal redundancy interpretation across both standard and adversarial environments.</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2"/>
      </w:pPr>
      <w:r>
        <w:t>4.9 Manipülasyon Geçerlilik Denetimi</w:t>
      </w:r>
    </w:p>
    <w:p>
      <w:r>
        <w:t>Motivasyon: PPO ajanlarının eğitiminde kullanılan gözlem uzayı sigma_hat ve rejim one-hot bileşenlerini içermektedir. Null sonucu savunulur kılmanın gerekli koşullarından biri, bu sinyallerin taşıdığı bilginin gerçekten ajanın kullanabileceği yapıda olduğunun — ve sinyal kalitesi düşürüldüğünde metriklerin beklendiği gibi bozulduğunun — gösterilmesidir. Aksi hâlde 'rejim etiketi faydasız' ifadesi, etiketin öznitelik olarak hiç bilgi taşımadığı trivial durumdan ayırt edilemez. Bu bölüm, rejim sinyali üzerine uygulanan kontrollü manipülasyonların regresyon/sınıflandırma metriklerinde beklenen etkiyi ürettiğini raporlar.</w:t>
      </w:r>
    </w:p>
    <w:p>
      <w:r>
        <w:t>Yöntem: Kanonik operating point (dt = 0.2, sigma_mid_ticks = 0.8, sigma_mult = [0.6, 1.0, 1.8], warmup_steps = 1000, rv_window = 50, n_steps = 8000, tohum = 123) altında tek bir epizot üretilir. Rolling realized volatility serisi üzerinde beş koşul uygulanır: clean (manipülasyon yok), noisy (noise_std = 0.5 × clean_sigma_std, yani 0.09 civarı), lagged (5 adım gecikme), coarsened (5 kuantil kovasına indirgeme, kova ortalamasıyla değiştirme) ve none (sabit fill_value = 0.0). Her koşul için sigma_hat ile regime_true arasındaki Spearman/Pearson korelasyonu, rejim sınıflandırma doğruluğu, ayrışabilirlik (Fisher benzeri skor) ve threshold overlap oranı hesaplanır. Audit iş paketinin kaynak dosyaları: config/w55_audit.json, src/wp5_5/job_w55_audit.py, src/wp5_5/signal_degradation.py, src/wp5_5/signal_audit.py.</w:t>
      </w:r>
    </w:p>
    <w:p>
      <w:r>
        <w:t>Yapısal metrik politikası: 'none' koşulu sabit bir fill değeriyle çalıştığı için classification_accuracy ve threshold_overlap metrikleri bu koşulda yapısal olarak tanımsızdır — değerler sinyal bilgi içeriğini değil, fill değeri ile kalibre edilmiş eşikler arasındaki ilişkiyi yansıtır. Bu iki metrik 'none' koşulunda raporlanmaya devam eder ancak PASS/FAIL değerlendirmesinden çıkarılmıştır (reported-but-not-gated).</w:t>
      </w:r>
    </w:p>
    <w:p>
      <w:r>
        <w:t>Tablo 8. WP5.5 Sinyal Denetim Metrikleri (kanonik operating point, tohum = 123)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Spearman</w:t>
            </w:r>
          </w:p>
        </w:tc>
        <w:tc>
          <w:tcPr>
            <w:tcW w:type="dxa" w:w="1440"/>
          </w:tcPr>
          <w:p>
            <w:r>
              <w:rPr>
                <w:b/>
              </w:rPr>
              <w:t>Pearson</w:t>
            </w:r>
          </w:p>
        </w:tc>
        <w:tc>
          <w:tcPr>
            <w:tcW w:type="dxa" w:w="1440"/>
          </w:tcPr>
          <w:p>
            <w:r>
              <w:rPr>
                <w:b/>
              </w:rPr>
              <w:t>Clas. Acc.</w:t>
            </w:r>
          </w:p>
        </w:tc>
        <w:tc>
          <w:tcPr>
            <w:tcW w:type="dxa" w:w="1440"/>
          </w:tcPr>
          <w:p>
            <w:r>
              <w:rPr>
                <w:b/>
              </w:rPr>
              <w:t>Ayrışab.</w:t>
            </w:r>
          </w:p>
        </w:tc>
        <w:tc>
          <w:tcPr>
            <w:tcW w:type="dxa" w:w="1440"/>
          </w:tcPr>
          <w:p>
            <w:r>
              <w:rPr>
                <w:b/>
              </w:rPr>
              <w:t>Thr. Overlap</w:t>
            </w:r>
          </w:p>
        </w:tc>
      </w:tr>
      <w:tr>
        <w:tc>
          <w:tcPr>
            <w:tcW w:type="dxa" w:w="1440"/>
          </w:tcPr>
          <w:p>
            <w:r>
              <w:t>clean</w:t>
            </w:r>
          </w:p>
        </w:tc>
        <w:tc>
          <w:tcPr>
            <w:tcW w:type="dxa" w:w="1440"/>
          </w:tcPr>
          <w:p>
            <w:r>
              <w:t>1.000</w:t>
            </w:r>
          </w:p>
        </w:tc>
        <w:tc>
          <w:tcPr>
            <w:tcW w:type="dxa" w:w="1440"/>
          </w:tcPr>
          <w:p>
            <w:r>
              <w:t>1.000</w:t>
            </w:r>
          </w:p>
        </w:tc>
        <w:tc>
          <w:tcPr>
            <w:tcW w:type="dxa" w:w="1440"/>
          </w:tcPr>
          <w:p>
            <w:r>
              <w:t>0.400</w:t>
            </w:r>
          </w:p>
        </w:tc>
        <w:tc>
          <w:tcPr>
            <w:tcW w:type="dxa" w:w="1440"/>
          </w:tcPr>
          <w:p>
            <w:r>
              <w:t>5093.3</w:t>
            </w:r>
          </w:p>
        </w:tc>
        <w:tc>
          <w:tcPr>
            <w:tcW w:type="dxa" w:w="1440"/>
          </w:tcPr>
          <w:p>
            <w:r>
              <w:t>0.300</w:t>
            </w:r>
          </w:p>
        </w:tc>
      </w:tr>
      <w:tr>
        <w:tc>
          <w:tcPr>
            <w:tcW w:type="dxa" w:w="1440"/>
          </w:tcPr>
          <w:p>
            <w:r>
              <w:t>noisy</w:t>
            </w:r>
          </w:p>
        </w:tc>
        <w:tc>
          <w:tcPr>
            <w:tcW w:type="dxa" w:w="1440"/>
          </w:tcPr>
          <w:p>
            <w:r>
              <w:t>0.820</w:t>
            </w:r>
          </w:p>
        </w:tc>
        <w:tc>
          <w:tcPr>
            <w:tcW w:type="dxa" w:w="1440"/>
          </w:tcPr>
          <w:p>
            <w:r>
              <w:t>0.894</w:t>
            </w:r>
          </w:p>
        </w:tc>
        <w:tc>
          <w:tcPr>
            <w:tcW w:type="dxa" w:w="1440"/>
          </w:tcPr>
          <w:p>
            <w:r>
              <w:t>0.518</w:t>
            </w:r>
          </w:p>
        </w:tc>
        <w:tc>
          <w:tcPr>
            <w:tcW w:type="dxa" w:w="1440"/>
          </w:tcPr>
          <w:p>
            <w:r>
              <w:t>4274.3</w:t>
            </w:r>
          </w:p>
        </w:tc>
        <w:tc>
          <w:tcPr>
            <w:tcW w:type="dxa" w:w="1440"/>
          </w:tcPr>
          <w:p>
            <w:r>
              <w:t>0.103</w:t>
            </w:r>
          </w:p>
        </w:tc>
      </w:tr>
      <w:tr>
        <w:tc>
          <w:tcPr>
            <w:tcW w:type="dxa" w:w="1440"/>
          </w:tcPr>
          <w:p>
            <w:r>
              <w:t>lagged</w:t>
            </w:r>
          </w:p>
        </w:tc>
        <w:tc>
          <w:tcPr>
            <w:tcW w:type="dxa" w:w="1440"/>
          </w:tcPr>
          <w:p>
            <w:r>
              <w:t>0.977</w:t>
            </w:r>
          </w:p>
        </w:tc>
        <w:tc>
          <w:tcPr>
            <w:tcW w:type="dxa" w:w="1440"/>
          </w:tcPr>
          <w:p>
            <w:r>
              <w:t>0.991</w:t>
            </w:r>
          </w:p>
        </w:tc>
        <w:tc>
          <w:tcPr>
            <w:tcW w:type="dxa" w:w="1440"/>
          </w:tcPr>
          <w:p>
            <w:r>
              <w:t>0.398</w:t>
            </w:r>
          </w:p>
        </w:tc>
        <w:tc>
          <w:tcPr>
            <w:tcW w:type="dxa" w:w="1440"/>
          </w:tcPr>
          <w:p>
            <w:r>
              <w:t>4856.8</w:t>
            </w:r>
          </w:p>
        </w:tc>
        <w:tc>
          <w:tcPr>
            <w:tcW w:type="dxa" w:w="1440"/>
          </w:tcPr>
          <w:p>
            <w:r>
              <w:t>0.300</w:t>
            </w:r>
          </w:p>
        </w:tc>
      </w:tr>
      <w:tr>
        <w:tc>
          <w:tcPr>
            <w:tcW w:type="dxa" w:w="1440"/>
          </w:tcPr>
          <w:p>
            <w:r>
              <w:t>coarsened</w:t>
            </w:r>
          </w:p>
        </w:tc>
        <w:tc>
          <w:tcPr>
            <w:tcW w:type="dxa" w:w="1440"/>
          </w:tcPr>
          <w:p>
            <w:r>
              <w:t>0.940</w:t>
            </w:r>
          </w:p>
        </w:tc>
        <w:tc>
          <w:tcPr>
            <w:tcW w:type="dxa" w:w="1440"/>
          </w:tcPr>
          <w:p>
            <w:r>
              <w:t>0.877</w:t>
            </w:r>
          </w:p>
        </w:tc>
        <w:tc>
          <w:tcPr>
            <w:tcW w:type="dxa" w:w="1440"/>
          </w:tcPr>
          <w:p>
            <w:r>
              <w:t>0.391</w:t>
            </w:r>
          </w:p>
        </w:tc>
        <w:tc>
          <w:tcPr>
            <w:tcW w:type="dxa" w:w="1440"/>
          </w:tcPr>
          <w:p>
            <w:r>
              <w:t>5114.1</w:t>
            </w:r>
          </w:p>
        </w:tc>
        <w:tc>
          <w:tcPr>
            <w:tcW w:type="dxa" w:w="1440"/>
          </w:tcPr>
          <w:p>
            <w:r>
              <w:t>0.374</w:t>
            </w:r>
          </w:p>
        </w:tc>
      </w:tr>
      <w:tr>
        <w:tc>
          <w:tcPr>
            <w:tcW w:type="dxa" w:w="1440"/>
          </w:tcPr>
          <w:p>
            <w:r>
              <w:t>none</w:t>
            </w:r>
          </w:p>
        </w:tc>
        <w:tc>
          <w:tcPr>
            <w:tcW w:type="dxa" w:w="1440"/>
          </w:tcPr>
          <w:p>
            <w:r>
              <w:t>0.000</w:t>
            </w:r>
          </w:p>
        </w:tc>
        <w:tc>
          <w:tcPr>
            <w:tcW w:type="dxa" w:w="1440"/>
          </w:tcPr>
          <w:p>
            <w:r>
              <w:t>0.000</w:t>
            </w:r>
          </w:p>
        </w:tc>
        <w:tc>
          <w:tcPr>
            <w:tcW w:type="dxa" w:w="1440"/>
          </w:tcPr>
          <w:p>
            <w:r>
              <w:t>0.548</w:t>
            </w:r>
          </w:p>
        </w:tc>
        <w:tc>
          <w:tcPr>
            <w:tcW w:type="dxa" w:w="1440"/>
          </w:tcPr>
          <w:p>
            <w:r>
              <w:t>0.000</w:t>
            </w:r>
          </w:p>
        </w:tc>
        <w:tc>
          <w:tcPr>
            <w:tcW w:type="dxa" w:w="1440"/>
          </w:tcPr>
          <w:p>
            <w:r>
              <w:t>0.000</w:t>
            </w:r>
          </w:p>
        </w:tc>
      </w:tr>
    </w:tbl>
    <w:p>
      <w:r>
        <w:t>Bulgular: (i) Direction — clean sinyali 'none' baseline'ına karşı Spearman, Pearson ve ayrışabilirlik boyutlarında PASS vermektedir; yapısal olarak tanımsız iki metrik (classification_accuracy ve threshold_overlap) 'none' koşulunda gate dışında bırakılmıştır. (ii) Separation — noisy, lagged ve coarsened koşullarının tümü clean baseline'ından belirgin biçimde sapmakta, yani rejim etiketine uygulanan kontrollü bozulumlar ölçülebilir etki üretmektedir. (iii) Coarsen safety — 5 kovalı ayrıklaştırma, metriklerin üzerinde yıkıcı bir bilgi kaybı yaratmamaktadır. (iv) Monotonicity — 'clean → noisy → lagged → coarsened → none' dizisi boyunca ölçütler yekpare (monotone) bir şiddet eğrisine oturmamaktadır (non-monotone FAIL). Bu sonuç, tek bir sıralama ekseni boyunca artan bozulmadan kaynaklanan yapısal bir başarısızlık değildir; üç degradasyon (gürültü, gecikme, kuantizasyon) sinyal yapısına farklı boyutlarda saldırdığı için ortak bir şiddet ölçütüne indirgenmeleri ölçüt tasarımı düzeyinde tartışmaya açıktır.</w:t>
      </w:r>
    </w:p>
    <w:p>
      <w:r>
        <w:t>Yorum: Denetim, rejim sinyaline dokunan kontrollü manipülasyonların beklenen yönde ölçülebilir etki ürettiğini göstermektedir (direction PASS, separation PASS, coarsen safety PASS). Bu, sinyalin faydasız değil, *taşıdığı bilgi sigma_hat tarafından zaten yansıtıldığı için* RL performansına marjinal katkı sağladığı şeklindeki null-result yorumuyla tutarlıdır. Monotonicity FAIL'i, ayrı tipteki bozulumların tek bir şiddet ekseninde karşılaştırılmasına dair bir ölçüt tasarımı uyarısı olarak okunmalıdır; WP5.5 run'ın genel önerisi bu nedenle REVIEW düzeyindedir. Audit çıktıları: results/runs/20260422-170037_seed123_wp55-signal-audit_66fc17e/.</w:t>
      </w:r>
    </w:p>
    <w:p>
      <w:r>
        <w:t>Reproducibility notu: config dosyasında noise_std alanı 'auto' değerine ayarlıdır; audit iş paketi koşu sırasında gürültü standart sapmasını 0.5 × clean_sigma_std (post-warmup) olarak hesaplar. Bu sayede gürültü seviyesi her zaman kanonik sinyal ölçeğine göre sabit oranda kalır ve operating point'e dair güncellemelere otomatik olarak adapte olur. WP5.5 öncesinde yapılan iki drift'li koşu (20260419-214718, 20260419-221930) süpersed edilmiş ve 'results/runs/wp55_audit_archive_note.md' altında arşivlenmiştir.</w:t>
      </w:r>
    </w:p>
    <w:p>
      <w:pPr>
        <w:pStyle w:val="Heading1"/>
      </w:pPr>
      <w:r>
        <w:t>5. SİNYAL BİLGİLENDİRİCİLİK SÜPÜRMESİ</w:t>
      </w:r>
    </w:p>
    <w:p>
      <w:r>
        <w:t>Bu bölüm, sürekli volatilite sinyalinin (σ̂_t) artan biçimde bozulduğu beş koşulda (full → noisy → lagged → coarsened → none) PPO ajanının beş gözlem-uzayı varyantı (sigma_only, combined, regime_only, oracle_full, oracle_pure) altında nasıl davrandığını raporlar. Kalibrasyon parametreleri Karar #46'da belirlenmiştir (noisy α = 0.40, lagged k = 20, coarsened binning). Toplam 4 koşul × 5 varyant + 1 koşul × 4 varyant = 24 hücre × 20 tohum = 480 koşum eğitilmiş ve her koşumda deterministik OOS değerlendirmesi yapılmıştır.</w:t>
      </w:r>
    </w:p>
    <w:p>
      <w:r>
        <w:t>Tarihsel şeffaflık (Karar #47): WP6 başlangıçta, sürekli volatilite sinyali σ̂_t bozuldukça explicit kategorik rejim etiketlerinin değer kazandığı bir rejimi tespit etmek — yani bilgilendiricilik-eşiği hipotezini test etmek (Karar #46) — amacıyla tasarlanmıştır. Deney bunun yerine, test edilen kalibrasyon aralığı içinde böyle bir rejimin var olmadığını ortaya koymuş ve combined varyantında beklenmeyen bir bozulma örüntüsünü gün yüzüne çıkarmıştır. Bu bölüm her iki bulguyu gözlemlendiği şekilde raporlar; deney tasarımı ve analiz planı sonuçlar görüldükten sonra değiştirilmemiştir.</w:t>
      </w:r>
    </w:p>
    <w:p>
      <w:r>
        <w:t>Metodolojik simetri notu — TOST kullanımı: WP5, ppo_aware ile ppo_blind arasındaki pratik eşitliği değerlendirmek amacıyla TOST'u eşitlik yönünde kullanmıştır. WP6 ise TOST'u her iki yönde kullanır: combined ile sigma_only karşılaştırmasında non-eşitlik (Şekil 11) ve combined ile regime_only karşılaştırmasında eşitlik (Şekil 12; n = 20'nin ikinci yön için underpowered olduğu kayda alınarak). Eşitlik testinde max(p_lower, p_upper) &lt; α, non-eşitlik testinde min(p_lower, p_upper) &lt; α karar kuralı uygulanır.</w:t>
      </w:r>
    </w:p>
    <w:p>
      <w:r>
        <w:t>Tablo 9, beş koşul × beş varyant matrisinde 20 tohum üzerinden OOS Sharpe ortalamasını ve %95 güven aralığını özetlemektedir (df = 19; t-kritik = 2.093). regime_only ve oracle_pure varyantları yapısı gereği σ̂_t'yi tüketmediğinden koşul-değişmezdir; bu tohum-bazında doğrulanmıştır (max |fark| = 0). sigma_only varyantı condition = none altında tanımsızdır (σ̂_t sıfırlanır).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Koşul</w:t>
            </w:r>
          </w:p>
        </w:tc>
        <w:tc>
          <w:tcPr>
            <w:tcW w:type="dxa" w:w="1440"/>
          </w:tcPr>
          <w:p>
            <w:r>
              <w:rPr>
                <w:b/>
              </w:rPr>
              <w:t>sigma_only</w:t>
            </w:r>
          </w:p>
        </w:tc>
        <w:tc>
          <w:tcPr>
            <w:tcW w:type="dxa" w:w="1440"/>
          </w:tcPr>
          <w:p>
            <w:r>
              <w:rPr>
                <w:b/>
              </w:rPr>
              <w:t>combined</w:t>
            </w:r>
          </w:p>
        </w:tc>
        <w:tc>
          <w:tcPr>
            <w:tcW w:type="dxa" w:w="1440"/>
          </w:tcPr>
          <w:p>
            <w:r>
              <w:rPr>
                <w:b/>
              </w:rPr>
              <w:t>regime_only</w:t>
            </w:r>
          </w:p>
        </w:tc>
        <w:tc>
          <w:tcPr>
            <w:tcW w:type="dxa" w:w="1440"/>
          </w:tcPr>
          <w:p>
            <w:r>
              <w:rPr>
                <w:b/>
              </w:rPr>
              <w:t>oracle_full</w:t>
            </w:r>
          </w:p>
        </w:tc>
        <w:tc>
          <w:tcPr>
            <w:tcW w:type="dxa" w:w="1440"/>
          </w:tcPr>
          <w:p>
            <w:r>
              <w:rPr>
                <w:b/>
              </w:rPr>
              <w:t>oracle_pure</w:t>
            </w:r>
          </w:p>
        </w:tc>
      </w:tr>
      <w:tr>
        <w:tc>
          <w:tcPr>
            <w:tcW w:type="dxa" w:w="1440"/>
          </w:tcPr>
          <w:p>
            <w:r>
              <w:t>full</w:t>
            </w:r>
          </w:p>
        </w:tc>
        <w:tc>
          <w:tcPr>
            <w:tcW w:type="dxa" w:w="1440"/>
          </w:tcPr>
          <w:p>
            <w:r>
              <w:t>0.763 ± 0.060</w:t>
            </w:r>
          </w:p>
        </w:tc>
        <w:tc>
          <w:tcPr>
            <w:tcW w:type="dxa" w:w="1440"/>
          </w:tcPr>
          <w:p>
            <w:r>
              <w:t>0.690 ± 0.061</w:t>
            </w:r>
          </w:p>
        </w:tc>
        <w:tc>
          <w:tcPr>
            <w:tcW w:type="dxa" w:w="1440"/>
          </w:tcPr>
          <w:p>
            <w:r>
              <w:t>0.699 ± 0.067</w:t>
            </w:r>
          </w:p>
        </w:tc>
        <w:tc>
          <w:tcPr>
            <w:tcW w:type="dxa" w:w="1440"/>
          </w:tcPr>
          <w:p>
            <w:r>
              <w:t>0.681 ± 0.070</w:t>
            </w:r>
          </w:p>
        </w:tc>
        <w:tc>
          <w:tcPr>
            <w:tcW w:type="dxa" w:w="1440"/>
          </w:tcPr>
          <w:p>
            <w:r>
              <w:t>0.663 ± 0.077</w:t>
            </w:r>
          </w:p>
        </w:tc>
      </w:tr>
      <w:tr>
        <w:tc>
          <w:tcPr>
            <w:tcW w:type="dxa" w:w="1440"/>
          </w:tcPr>
          <w:p>
            <w:r>
              <w:t>noisy</w:t>
            </w:r>
          </w:p>
        </w:tc>
        <w:tc>
          <w:tcPr>
            <w:tcW w:type="dxa" w:w="1440"/>
          </w:tcPr>
          <w:p>
            <w:r>
              <w:t>0.756 ± 0.062</w:t>
            </w:r>
          </w:p>
        </w:tc>
        <w:tc>
          <w:tcPr>
            <w:tcW w:type="dxa" w:w="1440"/>
          </w:tcPr>
          <w:p>
            <w:r>
              <w:t>0.713 ± 0.063</w:t>
            </w:r>
          </w:p>
        </w:tc>
        <w:tc>
          <w:tcPr>
            <w:tcW w:type="dxa" w:w="1440"/>
          </w:tcPr>
          <w:p>
            <w:r>
              <w:t>0.699 ± 0.067</w:t>
            </w:r>
          </w:p>
        </w:tc>
        <w:tc>
          <w:tcPr>
            <w:tcW w:type="dxa" w:w="1440"/>
          </w:tcPr>
          <w:p>
            <w:r>
              <w:t>0.674 ± 0.101</w:t>
            </w:r>
          </w:p>
        </w:tc>
        <w:tc>
          <w:tcPr>
            <w:tcW w:type="dxa" w:w="1440"/>
          </w:tcPr>
          <w:p>
            <w:r>
              <w:t>0.663 ± 0.077</w:t>
            </w:r>
          </w:p>
        </w:tc>
      </w:tr>
      <w:tr>
        <w:tc>
          <w:tcPr>
            <w:tcW w:type="dxa" w:w="1440"/>
          </w:tcPr>
          <w:p>
            <w:r>
              <w:t>lagged</w:t>
            </w:r>
          </w:p>
        </w:tc>
        <w:tc>
          <w:tcPr>
            <w:tcW w:type="dxa" w:w="1440"/>
          </w:tcPr>
          <w:p>
            <w:r>
              <w:t>0.782 ± 0.045</w:t>
            </w:r>
          </w:p>
        </w:tc>
        <w:tc>
          <w:tcPr>
            <w:tcW w:type="dxa" w:w="1440"/>
          </w:tcPr>
          <w:p>
            <w:r>
              <w:t>0.681 ± 0.054</w:t>
            </w:r>
          </w:p>
        </w:tc>
        <w:tc>
          <w:tcPr>
            <w:tcW w:type="dxa" w:w="1440"/>
          </w:tcPr>
          <w:p>
            <w:r>
              <w:t>0.699 ± 0.067</w:t>
            </w:r>
          </w:p>
        </w:tc>
        <w:tc>
          <w:tcPr>
            <w:tcW w:type="dxa" w:w="1440"/>
          </w:tcPr>
          <w:p>
            <w:r>
              <w:t>0.726 ± 0.069</w:t>
            </w:r>
          </w:p>
        </w:tc>
        <w:tc>
          <w:tcPr>
            <w:tcW w:type="dxa" w:w="1440"/>
          </w:tcPr>
          <w:p>
            <w:r>
              <w:t>0.663 ± 0.077</w:t>
            </w:r>
          </w:p>
        </w:tc>
      </w:tr>
      <w:tr>
        <w:tc>
          <w:tcPr>
            <w:tcW w:type="dxa" w:w="1440"/>
          </w:tcPr>
          <w:p>
            <w:r>
              <w:t>coarsened</w:t>
            </w:r>
          </w:p>
        </w:tc>
        <w:tc>
          <w:tcPr>
            <w:tcW w:type="dxa" w:w="1440"/>
          </w:tcPr>
          <w:p>
            <w:r>
              <w:t>0.783 ± 0.053</w:t>
            </w:r>
          </w:p>
        </w:tc>
        <w:tc>
          <w:tcPr>
            <w:tcW w:type="dxa" w:w="1440"/>
          </w:tcPr>
          <w:p>
            <w:r>
              <w:t>0.691 ± 0.083</w:t>
            </w:r>
          </w:p>
        </w:tc>
        <w:tc>
          <w:tcPr>
            <w:tcW w:type="dxa" w:w="1440"/>
          </w:tcPr>
          <w:p>
            <w:r>
              <w:t>0.699 ± 0.067</w:t>
            </w:r>
          </w:p>
        </w:tc>
        <w:tc>
          <w:tcPr>
            <w:tcW w:type="dxa" w:w="1440"/>
          </w:tcPr>
          <w:p>
            <w:r>
              <w:t>0.745 ± 0.055</w:t>
            </w:r>
          </w:p>
        </w:tc>
        <w:tc>
          <w:tcPr>
            <w:tcW w:type="dxa" w:w="1440"/>
          </w:tcPr>
          <w:p>
            <w:r>
              <w:t>0.663 ± 0.077</w:t>
            </w:r>
          </w:p>
        </w:tc>
      </w:tr>
      <w:tr>
        <w:tc>
          <w:tcPr>
            <w:tcW w:type="dxa" w:w="1440"/>
          </w:tcPr>
          <w:p>
            <w:r>
              <w:t>none</w:t>
            </w:r>
          </w:p>
        </w:tc>
        <w:tc>
          <w:tcPr>
            <w:tcW w:type="dxa" w:w="1440"/>
          </w:tcPr>
          <w:p>
            <w:r>
              <w:t>tanımsız</w:t>
            </w:r>
          </w:p>
        </w:tc>
        <w:tc>
          <w:tcPr>
            <w:tcW w:type="dxa" w:w="1440"/>
          </w:tcPr>
          <w:p>
            <w:r>
              <w:t>0.699 ± 0.067</w:t>
            </w:r>
          </w:p>
        </w:tc>
        <w:tc>
          <w:tcPr>
            <w:tcW w:type="dxa" w:w="1440"/>
          </w:tcPr>
          <w:p>
            <w:r>
              <w:t>0.699 ± 0.067</w:t>
            </w:r>
          </w:p>
        </w:tc>
        <w:tc>
          <w:tcPr>
            <w:tcW w:type="dxa" w:w="1440"/>
          </w:tcPr>
          <w:p>
            <w:r>
              <w:t>0.663 ± 0.077</w:t>
            </w:r>
          </w:p>
        </w:tc>
        <w:tc>
          <w:tcPr>
            <w:tcW w:type="dxa" w:w="1440"/>
          </w:tcPr>
          <w:p>
            <w:r>
              <w:t>0.663 ± 0.077</w:t>
            </w:r>
          </w:p>
        </w:tc>
      </w:tr>
    </w:tbl>
    <w:p>
      <w:r>
        <w:drawing>
          <wp:inline xmlns:a="http://schemas.openxmlformats.org/drawingml/2006/main" xmlns:pic="http://schemas.openxmlformats.org/drawingml/2006/picture">
            <wp:extent cx="5029200" cy="3153852"/>
            <wp:docPr id="10" name="Picture 10"/>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5029200" cy="3153852"/>
                    </a:xfrm>
                    <a:prstGeom prst="rect"/>
                  </pic:spPr>
                </pic:pic>
              </a:graphicData>
            </a:graphic>
          </wp:inline>
        </w:drawing>
      </w:r>
    </w:p>
    <w:p>
      <w:r>
        <w:t>Şekil 10. Beş koşul boyunca beş varyantın OOS Sharpe ortalaması (20 tohum, ortalama ± %95 GA). x-ekseni sinyal bozulması ekseni (full → noisy → lagged → coarsened → none); y-ekseni Sharpe-benzeri performans metriği. sigma_only çizgisi dört bilgilendirici koşulda (0.756–0.783) yatay seyretmektedir; regime_only ve oracle_pure çizgileri yapısal olarak sabittir.</w:t>
      </w:r>
    </w:p>
    <w:p>
      <w:pPr>
        <w:pStyle w:val="Heading2"/>
      </w:pPr>
      <w:r>
        <w:t>5.1 Reddedilen Hipotez: Bilgilendiricilik-Eşiği</w:t>
      </w:r>
    </w:p>
    <w:p>
      <w:r>
        <w:t>Pre-registered beklenti: σ̂_t aşamalı olarak bozuldukça (full → noisy → lagged → coarsened → none), sigma_only ile combined arasındaki Sharpe farkı monoton biçimde daralmalı; sigma yeterince gürültülü hale geldiğinde kategorik rejim etiketi anlamlı bilgi katmaya başlamalıdır. Bu hipotez WP5'in null sonucunu — explicit rejim etiketlerinin σ̂_t'nin halihazırda taşıdığı bilgiyle yedekli kaldığı bulgusunu — yöntemsel olarak izleyen bir testtir (Karar #46).</w:t>
      </w:r>
    </w:p>
    <w:p>
      <w:r>
        <w:t>Gözlem (Şekil 10, Tablo 9): sigma_only varyantı dört bilgilendirici koşulda 0.756–0.783 aralığında esasen sabit kalır; sigma_only ile combined arasındaki fark 0.06–0.10 Sharpe-benzeri bandında durur ve monoton bir daralma sergilemez. Bu, pre-registered hipotezin reddedildiği anlamına gelir: test edilen kalibrasyon aralığı içinde, sigma'nın bozulması combined varyantının sigma_only'yi yakalamasına yol açmaz.</w:t>
      </w:r>
    </w:p>
    <w:p>
      <w:r>
        <w:t>Kalibrasyon aralığı uyarısı: Test edilen kalibrasyon aralığı içinde (Karar #46: noisy α = 0.40, lagged k = 20, coarsened binning), hiçbir bozulma koşulu, explicit kategorik etiketlerin faydalı hale geldiği bir rejim üretmemiştir. Daha agresif bozulmalar (örn. α = 0.80 veya k = 50) bu süpürmede test edilmemiştir ve bunlar ekarte edilemez. Dolayısıyla 'sigma_only düz' bulgusu, seçilmiş kalibrasyon bandına ilişkin bir ifadedir; tüm sigma bozulmaları için evrensel bir iddia değildir. Noisy condition'un α değeri, tüm post-warmup standart sapması kullanılarak kalibre edilmiştir; yalnızca eğitim verisi kullanılarak yeniden kalibre edildiğinde α tahmini olarak &lt;%10 oranında kayacaktır. Bu kayma, §5.2'de raporlanan yönsel bulguların (combined &lt; sigma_only, Cohen's dz arası -0.57 ile -0.91) sağlam kaldığı aralık içindedir.</w:t>
      </w:r>
    </w:p>
    <w:p>
      <w:pPr>
        <w:pStyle w:val="Heading2"/>
      </w:pPr>
      <w:r>
        <w:t>5.2 Beklenmeyen Bulgu: combined Varyantının Yönsel Düşüşü</w:t>
      </w:r>
    </w:p>
    <w:p>
      <w:r>
        <w:t>Süpürme planlanmamış bir bulguyu ortaya çıkarmıştır: combined varyantı dört bilgilendirici koşulun tümünde sigma_only'nin altında yönsel olarak konumlanmaktadır. Tohum-bazında eşleştirilmiş analiz (Şekil 11, summary_paired_combined_vs_sigma.csv): her koşulda 20 tohumun 15–18'i kimlik çizgisinin (y = x) altında yer alır; eşleştirilmiş t-testi p-değeri her dört koşulda 0.05'in altındadır; Cohen's dz orta-büyüklükten büyüğe (−0.57'den −0.91'e) uzanır.</w:t>
      </w:r>
    </w:p>
    <w:p>
      <w:r>
        <w:drawing>
          <wp:inline xmlns:a="http://schemas.openxmlformats.org/drawingml/2006/main" xmlns:pic="http://schemas.openxmlformats.org/drawingml/2006/picture">
            <wp:extent cx="5029200" cy="5354675"/>
            <wp:docPr id="11" name="Picture 11"/>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5029200" cy="5354675"/>
                    </a:xfrm>
                    <a:prstGeom prst="rect"/>
                  </pic:spPr>
                </pic:pic>
              </a:graphicData>
            </a:graphic>
          </wp:inline>
        </w:drawing>
      </w:r>
    </w:p>
    <w:p>
      <w:r>
        <w:t>Şekil 11. Tohum-bazında combined vs sigma_only karşılaştırması (her panel bir koşul, her nokta bir tohum, n = 20). Kesikli çizgi y = x referansıdır. Noktaların büyük çoğunluğunun y = x'in altında kalması, combined varyantının seed-by-seed temelinde sigma_only'nin altında yönsel olarak yer aldığını gösterir.</w:t>
      </w:r>
    </w:p>
    <w:p>
      <w:r>
        <w:t>Tablo 10. combined vs sigma_only — Eşleştirilmiş Tohum İstatistikleri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n_below</w:t>
            </w:r>
          </w:p>
        </w:tc>
        <w:tc>
          <w:tcPr>
            <w:tcW w:type="dxa" w:w="1234"/>
          </w:tcPr>
          <w:p>
            <w:r>
              <w:rPr>
                <w:b/>
              </w:rPr>
              <w:t>mean_diff</w:t>
            </w:r>
          </w:p>
        </w:tc>
        <w:tc>
          <w:tcPr>
            <w:tcW w:type="dxa" w:w="1234"/>
          </w:tcPr>
          <w:p>
            <w:r>
              <w:rPr>
                <w:b/>
              </w:rPr>
              <w:t>paired t p</w:t>
            </w:r>
          </w:p>
        </w:tc>
        <w:tc>
          <w:tcPr>
            <w:tcW w:type="dxa" w:w="1234"/>
          </w:tcPr>
          <w:p>
            <w:r>
              <w:rPr>
                <w:b/>
              </w:rPr>
              <w:t>Cohen's dz</w:t>
            </w:r>
          </w:p>
        </w:tc>
        <w:tc>
          <w:tcPr>
            <w:tcW w:type="dxa" w:w="1234"/>
          </w:tcPr>
          <w:p>
            <w:r>
              <w:rPr>
                <w:b/>
              </w:rPr>
              <w:t>TOST p (non-eşitlik)</w:t>
            </w:r>
          </w:p>
        </w:tc>
        <w:tc>
          <w:tcPr>
            <w:tcW w:type="dxa" w:w="1234"/>
          </w:tcPr>
          <w:p>
            <w:r>
              <w:rPr>
                <w:b/>
              </w:rPr>
              <w:t>δ=0.05'te red</w:t>
            </w:r>
          </w:p>
        </w:tc>
      </w:tr>
      <w:tr>
        <w:tc>
          <w:tcPr>
            <w:tcW w:type="dxa" w:w="1234"/>
          </w:tcPr>
          <w:p>
            <w:r>
              <w:t>full</w:t>
            </w:r>
          </w:p>
        </w:tc>
        <w:tc>
          <w:tcPr>
            <w:tcW w:type="dxa" w:w="1234"/>
          </w:tcPr>
          <w:p>
            <w:r>
              <w:t>15/20</w:t>
            </w:r>
          </w:p>
        </w:tc>
        <w:tc>
          <w:tcPr>
            <w:tcW w:type="dxa" w:w="1234"/>
          </w:tcPr>
          <w:p>
            <w:r>
              <w:t>−0.073</w:t>
            </w:r>
          </w:p>
        </w:tc>
        <w:tc>
          <w:tcPr>
            <w:tcW w:type="dxa" w:w="1234"/>
          </w:tcPr>
          <w:p>
            <w:r>
              <w:t>0.012</w:t>
            </w:r>
          </w:p>
        </w:tc>
        <w:tc>
          <w:tcPr>
            <w:tcW w:type="dxa" w:w="1234"/>
          </w:tcPr>
          <w:p>
            <w:r>
              <w:t>−0.621</w:t>
            </w:r>
          </w:p>
        </w:tc>
        <w:tc>
          <w:tcPr>
            <w:tcW w:type="dxa" w:w="1234"/>
          </w:tcPr>
          <w:p>
            <w:r>
              <w:t>0.198</w:t>
            </w:r>
          </w:p>
        </w:tc>
        <w:tc>
          <w:tcPr>
            <w:tcW w:type="dxa" w:w="1234"/>
          </w:tcPr>
          <w:p>
            <w:r>
              <w:t>Hayır</w:t>
            </w:r>
          </w:p>
        </w:tc>
      </w:tr>
      <w:tr>
        <w:tc>
          <w:tcPr>
            <w:tcW w:type="dxa" w:w="1234"/>
          </w:tcPr>
          <w:p>
            <w:r>
              <w:t>noisy</w:t>
            </w:r>
          </w:p>
        </w:tc>
        <w:tc>
          <w:tcPr>
            <w:tcW w:type="dxa" w:w="1234"/>
          </w:tcPr>
          <w:p>
            <w:r>
              <w:t>15/20</w:t>
            </w:r>
          </w:p>
        </w:tc>
        <w:tc>
          <w:tcPr>
            <w:tcW w:type="dxa" w:w="1234"/>
          </w:tcPr>
          <w:p>
            <w:r>
              <w:t>−0.044</w:t>
            </w:r>
          </w:p>
        </w:tc>
        <w:tc>
          <w:tcPr>
            <w:tcW w:type="dxa" w:w="1234"/>
          </w:tcPr>
          <w:p>
            <w:r>
              <w:t>0.020</w:t>
            </w:r>
          </w:p>
        </w:tc>
        <w:tc>
          <w:tcPr>
            <w:tcW w:type="dxa" w:w="1234"/>
          </w:tcPr>
          <w:p>
            <w:r>
              <w:t>−0.568</w:t>
            </w:r>
          </w:p>
        </w:tc>
        <w:tc>
          <w:tcPr>
            <w:tcW w:type="dxa" w:w="1234"/>
          </w:tcPr>
          <w:p>
            <w:r>
              <w:t>0.640</w:t>
            </w:r>
          </w:p>
        </w:tc>
        <w:tc>
          <w:tcPr>
            <w:tcW w:type="dxa" w:w="1234"/>
          </w:tcPr>
          <w:p>
            <w:r>
              <w:t>Hayır</w:t>
            </w:r>
          </w:p>
        </w:tc>
      </w:tr>
      <w:tr>
        <w:tc>
          <w:tcPr>
            <w:tcW w:type="dxa" w:w="1234"/>
          </w:tcPr>
          <w:p>
            <w:r>
              <w:t>lagged</w:t>
            </w:r>
          </w:p>
        </w:tc>
        <w:tc>
          <w:tcPr>
            <w:tcW w:type="dxa" w:w="1234"/>
          </w:tcPr>
          <w:p>
            <w:r>
              <w:t>18/20</w:t>
            </w:r>
          </w:p>
        </w:tc>
        <w:tc>
          <w:tcPr>
            <w:tcW w:type="dxa" w:w="1234"/>
          </w:tcPr>
          <w:p>
            <w:r>
              <w:t>−0.101</w:t>
            </w:r>
          </w:p>
        </w:tc>
        <w:tc>
          <w:tcPr>
            <w:tcW w:type="dxa" w:w="1234"/>
          </w:tcPr>
          <w:p>
            <w:r>
              <w:t>0.00064</w:t>
            </w:r>
          </w:p>
        </w:tc>
        <w:tc>
          <w:tcPr>
            <w:tcW w:type="dxa" w:w="1234"/>
          </w:tcPr>
          <w:p>
            <w:r>
              <w:t>−0.912</w:t>
            </w:r>
          </w:p>
        </w:tc>
        <w:tc>
          <w:tcPr>
            <w:tcW w:type="dxa" w:w="1234"/>
          </w:tcPr>
          <w:p>
            <w:r>
              <w:t>0.027</w:t>
            </w:r>
          </w:p>
        </w:tc>
        <w:tc>
          <w:tcPr>
            <w:tcW w:type="dxa" w:w="1234"/>
          </w:tcPr>
          <w:p>
            <w:r>
              <w:t>Evet</w:t>
            </w:r>
          </w:p>
        </w:tc>
      </w:tr>
      <w:tr>
        <w:tc>
          <w:tcPr>
            <w:tcW w:type="dxa" w:w="1234"/>
          </w:tcPr>
          <w:p>
            <w:r>
              <w:t>coarsened</w:t>
            </w:r>
          </w:p>
        </w:tc>
        <w:tc>
          <w:tcPr>
            <w:tcW w:type="dxa" w:w="1234"/>
          </w:tcPr>
          <w:p>
            <w:r>
              <w:t>15/20</w:t>
            </w:r>
          </w:p>
        </w:tc>
        <w:tc>
          <w:tcPr>
            <w:tcW w:type="dxa" w:w="1234"/>
          </w:tcPr>
          <w:p>
            <w:r>
              <w:t>−0.092</w:t>
            </w:r>
          </w:p>
        </w:tc>
        <w:tc>
          <w:tcPr>
            <w:tcW w:type="dxa" w:w="1234"/>
          </w:tcPr>
          <w:p>
            <w:r>
              <w:t>0.0088</w:t>
            </w:r>
          </w:p>
        </w:tc>
        <w:tc>
          <w:tcPr>
            <w:tcW w:type="dxa" w:w="1234"/>
          </w:tcPr>
          <w:p>
            <w:r>
              <w:t>−0.653</w:t>
            </w:r>
          </w:p>
        </w:tc>
        <w:tc>
          <w:tcPr>
            <w:tcW w:type="dxa" w:w="1234"/>
          </w:tcPr>
          <w:p>
            <w:r>
              <w:t>0.099</w:t>
            </w:r>
          </w:p>
        </w:tc>
        <w:tc>
          <w:tcPr>
            <w:tcW w:type="dxa" w:w="1234"/>
          </w:tcPr>
          <w:p>
            <w:r>
              <w:t>Hayır</w:t>
            </w:r>
          </w:p>
        </w:tc>
      </w:tr>
    </w:tbl>
    <w:p>
      <w:r>
        <w:t>Hedge — Yönsel vs pratik karakterizasyon: Yön dört koşulda da sağlamdır (paired t &lt; 0.05, dz orta-büyük). Ancak büyüklük yalnızca lagged koşulunda pratik anlamlılık eşiğini (δ = 0.05 Sharpe-benzeri) aşar (mean_diff = −0.101, TOST non-eşitlik p = 0.027). Diğer üç koşulda farkın 90% güven aralığı eşitlik bandına temas eder. Bu nedenle bölüm boyunca 'yönsel olarak sigma_only altında' ifadesi tercih edilmiş, 'tutarlı biçimde' veya 'zararlı' gibi nitelemelerden kaçınılmıştır.</w:t>
      </w:r>
    </w:p>
    <w:p>
      <w:r>
        <w:t>Bu örüntü pre-registered yönün tersidir: 'sigma bozuldukça rejim etiketleri faydalı hale gelir' değil, 'rejim etiketleri sigma ile birlikte sunulduğunda combined performansı yönsel olarak sigma_only'nin altına iter' biçiminde tezahür eder. Bu örüntüye bölüm boyunca **kategorik-kanal performans bozulması** (categorical-channel degradation) diye atıfta bulunulur. Bu, mekanizma yüklü değil, betimleyici bir etikettir.</w:t>
      </w:r>
    </w:p>
    <w:p>
      <w:pPr>
        <w:pStyle w:val="Heading2"/>
      </w:pPr>
      <w:r>
        <w:t>5.3 Yorumun Hassasiyeti: Anlam-Eşitliği vs Politika-Eşitliği</w:t>
      </w:r>
    </w:p>
    <w:p>
      <w:r>
        <w:t>İkinci bir tohum-eşleştirilmiş analiz, combined varyantının none-koşul davranışına (yani regime_only'ye) deterministik biçimde çöküp çökmediğini sınar. Cevap: hayır. Mean diff'ler dört koşulda da küçüktür (|mean_diff| ≤ 0.018, üç tanesinde işaret negatif), ancak varyans heterojendir.</w:t>
      </w:r>
    </w:p>
    <w:p>
      <w:r>
        <w:drawing>
          <wp:inline xmlns:a="http://schemas.openxmlformats.org/drawingml/2006/main" xmlns:pic="http://schemas.openxmlformats.org/drawingml/2006/picture">
            <wp:extent cx="5029200" cy="5354675"/>
            <wp:docPr id="12" name="Picture 12"/>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5029200" cy="5354675"/>
                    </a:xfrm>
                    <a:prstGeom prst="rect"/>
                  </pic:spPr>
                </pic:pic>
              </a:graphicData>
            </a:graphic>
          </wp:inline>
        </w:drawing>
      </w:r>
    </w:p>
    <w:p>
      <w:r>
        <w:t>Şekil 12. Tohum-bazında combined vs regime_only karşılaştırması (her panel bir koşul, her nokta bir tohum, n = 20). Şekil 11'in aksine noktalar y = x etrafında dağılır; ortalama farklar küçüktür ancak tohum-bazında eşleşme deterministik değildir — policy'ler aynı per-tohum fonksiyonu öğrenmemektedir.</w:t>
      </w:r>
    </w:p>
    <w:p>
      <w:r>
        <w:t>Tablo 11. combined vs regime_only — Eşleştirilmiş Tohum İstatistikleri ve Varyans Yan-Çıktısı</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Koşul</w:t>
            </w:r>
          </w:p>
        </w:tc>
        <w:tc>
          <w:tcPr>
            <w:tcW w:type="dxa" w:w="1234"/>
          </w:tcPr>
          <w:p>
            <w:r>
              <w:rPr>
                <w:b/>
              </w:rPr>
              <w:t>mean_diff</w:t>
            </w:r>
          </w:p>
        </w:tc>
        <w:tc>
          <w:tcPr>
            <w:tcW w:type="dxa" w:w="1234"/>
          </w:tcPr>
          <w:p>
            <w:r>
              <w:rPr>
                <w:b/>
              </w:rPr>
              <w:t>paired t p</w:t>
            </w:r>
          </w:p>
        </w:tc>
        <w:tc>
          <w:tcPr>
            <w:tcW w:type="dxa" w:w="1234"/>
          </w:tcPr>
          <w:p>
            <w:r>
              <w:rPr>
                <w:b/>
              </w:rPr>
              <w:t>TOST p (eşitlik)</w:t>
            </w:r>
          </w:p>
        </w:tc>
        <w:tc>
          <w:tcPr>
            <w:tcW w:type="dxa" w:w="1234"/>
          </w:tcPr>
          <w:p>
            <w:r>
              <w:rPr>
                <w:b/>
              </w:rPr>
              <w:t>std_combined</w:t>
            </w:r>
          </w:p>
        </w:tc>
        <w:tc>
          <w:tcPr>
            <w:tcW w:type="dxa" w:w="1234"/>
          </w:tcPr>
          <w:p>
            <w:r>
              <w:rPr>
                <w:b/>
              </w:rPr>
              <w:t>std_regime_only</w:t>
            </w:r>
          </w:p>
        </w:tc>
        <w:tc>
          <w:tcPr>
            <w:tcW w:type="dxa" w:w="1234"/>
          </w:tcPr>
          <w:p>
            <w:r>
              <w:rPr>
                <w:b/>
              </w:rPr>
              <w:t>std_diff</w:t>
            </w:r>
          </w:p>
        </w:tc>
      </w:tr>
      <w:tr>
        <w:tc>
          <w:tcPr>
            <w:tcW w:type="dxa" w:w="1234"/>
          </w:tcPr>
          <w:p>
            <w:r>
              <w:t>full</w:t>
            </w:r>
          </w:p>
        </w:tc>
        <w:tc>
          <w:tcPr>
            <w:tcW w:type="dxa" w:w="1234"/>
          </w:tcPr>
          <w:p>
            <w:r>
              <w:t>−0.009</w:t>
            </w:r>
          </w:p>
        </w:tc>
        <w:tc>
          <w:tcPr>
            <w:tcW w:type="dxa" w:w="1234"/>
          </w:tcPr>
          <w:p>
            <w:r>
              <w:t>0.791</w:t>
            </w:r>
          </w:p>
        </w:tc>
        <w:tc>
          <w:tcPr>
            <w:tcW w:type="dxa" w:w="1234"/>
          </w:tcPr>
          <w:p>
            <w:r>
              <w:t>0.128</w:t>
            </w:r>
          </w:p>
        </w:tc>
        <w:tc>
          <w:tcPr>
            <w:tcW w:type="dxa" w:w="1234"/>
          </w:tcPr>
          <w:p>
            <w:r>
              <w:t>0.130</w:t>
            </w:r>
          </w:p>
        </w:tc>
        <w:tc>
          <w:tcPr>
            <w:tcW w:type="dxa" w:w="1234"/>
          </w:tcPr>
          <w:p>
            <w:r>
              <w:t>0.143</w:t>
            </w:r>
          </w:p>
        </w:tc>
        <w:tc>
          <w:tcPr>
            <w:tcW w:type="dxa" w:w="1234"/>
          </w:tcPr>
          <w:p>
            <w:r>
              <w:t>0.155</w:t>
            </w:r>
          </w:p>
        </w:tc>
      </w:tr>
      <w:tr>
        <w:tc>
          <w:tcPr>
            <w:tcW w:type="dxa" w:w="1234"/>
          </w:tcPr>
          <w:p>
            <w:r>
              <w:t>noisy</w:t>
            </w:r>
          </w:p>
        </w:tc>
        <w:tc>
          <w:tcPr>
            <w:tcW w:type="dxa" w:w="1234"/>
          </w:tcPr>
          <w:p>
            <w:r>
              <w:t>+0.013</w:t>
            </w:r>
          </w:p>
        </w:tc>
        <w:tc>
          <w:tcPr>
            <w:tcW w:type="dxa" w:w="1234"/>
          </w:tcPr>
          <w:p>
            <w:r>
              <w:t>0.685</w:t>
            </w:r>
          </w:p>
        </w:tc>
        <w:tc>
          <w:tcPr>
            <w:tcW w:type="dxa" w:w="1234"/>
          </w:tcPr>
          <w:p>
            <w:r>
              <w:t>0.137</w:t>
            </w:r>
          </w:p>
        </w:tc>
        <w:tc>
          <w:tcPr>
            <w:tcW w:type="dxa" w:w="1234"/>
          </w:tcPr>
          <w:p>
            <w:r>
              <w:t>0.134</w:t>
            </w:r>
          </w:p>
        </w:tc>
        <w:tc>
          <w:tcPr>
            <w:tcW w:type="dxa" w:w="1234"/>
          </w:tcPr>
          <w:p>
            <w:r>
              <w:t>0.143</w:t>
            </w:r>
          </w:p>
        </w:tc>
        <w:tc>
          <w:tcPr>
            <w:tcW w:type="dxa" w:w="1234"/>
          </w:tcPr>
          <w:p>
            <w:r>
              <w:t>0.145</w:t>
            </w:r>
          </w:p>
        </w:tc>
      </w:tr>
      <w:tr>
        <w:tc>
          <w:tcPr>
            <w:tcW w:type="dxa" w:w="1234"/>
          </w:tcPr>
          <w:p>
            <w:r>
              <w:t>lagged</w:t>
            </w:r>
          </w:p>
        </w:tc>
        <w:tc>
          <w:tcPr>
            <w:tcW w:type="dxa" w:w="1234"/>
          </w:tcPr>
          <w:p>
            <w:r>
              <w:t>−0.018</w:t>
            </w:r>
          </w:p>
        </w:tc>
        <w:tc>
          <w:tcPr>
            <w:tcW w:type="dxa" w:w="1234"/>
          </w:tcPr>
          <w:p>
            <w:r>
              <w:t>0.535</w:t>
            </w:r>
          </w:p>
        </w:tc>
        <w:tc>
          <w:tcPr>
            <w:tcW w:type="dxa" w:w="1234"/>
          </w:tcPr>
          <w:p>
            <w:r>
              <w:t>0.136</w:t>
            </w:r>
          </w:p>
        </w:tc>
        <w:tc>
          <w:tcPr>
            <w:tcW w:type="dxa" w:w="1234"/>
          </w:tcPr>
          <w:p>
            <w:r>
              <w:t>0.114</w:t>
            </w:r>
          </w:p>
        </w:tc>
        <w:tc>
          <w:tcPr>
            <w:tcW w:type="dxa" w:w="1234"/>
          </w:tcPr>
          <w:p>
            <w:r>
              <w:t>0.143</w:t>
            </w:r>
          </w:p>
        </w:tc>
        <w:tc>
          <w:tcPr>
            <w:tcW w:type="dxa" w:w="1234"/>
          </w:tcPr>
          <w:p>
            <w:r>
              <w:t>0.127</w:t>
            </w:r>
          </w:p>
        </w:tc>
      </w:tr>
      <w:tr>
        <w:tc>
          <w:tcPr>
            <w:tcW w:type="dxa" w:w="1234"/>
          </w:tcPr>
          <w:p>
            <w:r>
              <w:t>coarsened</w:t>
            </w:r>
          </w:p>
        </w:tc>
        <w:tc>
          <w:tcPr>
            <w:tcW w:type="dxa" w:w="1234"/>
          </w:tcPr>
          <w:p>
            <w:r>
              <w:t>−0.008</w:t>
            </w:r>
          </w:p>
        </w:tc>
        <w:tc>
          <w:tcPr>
            <w:tcW w:type="dxa" w:w="1234"/>
          </w:tcPr>
          <w:p>
            <w:r>
              <w:t>0.814</w:t>
            </w:r>
          </w:p>
        </w:tc>
        <w:tc>
          <w:tcPr>
            <w:tcW w:type="dxa" w:w="1234"/>
          </w:tcPr>
          <w:p>
            <w:r>
              <w:t>0.123</w:t>
            </w:r>
          </w:p>
        </w:tc>
        <w:tc>
          <w:tcPr>
            <w:tcW w:type="dxa" w:w="1234"/>
          </w:tcPr>
          <w:p>
            <w:r>
              <w:t>0.177</w:t>
            </w:r>
          </w:p>
        </w:tc>
        <w:tc>
          <w:tcPr>
            <w:tcW w:type="dxa" w:w="1234"/>
          </w:tcPr>
          <w:p>
            <w:r>
              <w:t>0.143</w:t>
            </w:r>
          </w:p>
        </w:tc>
        <w:tc>
          <w:tcPr>
            <w:tcW w:type="dxa" w:w="1234"/>
          </w:tcPr>
          <w:p>
            <w:r>
              <w:t>0.156</w:t>
            </w:r>
          </w:p>
        </w:tc>
      </w:tr>
    </w:tbl>
    <w:p>
      <w:r>
        <w:t>TOST eşitliği δ = 0.05 düzeyinde **n = 20 tohumda formel olarak kurulamamıştır** (tost_p ≈ 0.12–0.14, dört koşulda da α = 0.05'i geçmez). Gözlenen std_diff ≈ 0.13–0.16 ile bu tasarım mevcut tohum sayısında ancak yaklaşık ±0.07–0.08 büyüklüğündeki minimum tespit edilebilir eşitlik bandını saptayabilir; ±0.05 değil. Bu nedenle Şekil 12 sonucu 'underpowered, etkinin yokluğu değil' olarak okunmalıdır. Muhafazakâr ifade: 'combined ortalaması, regime_only ortalamasından yaklaşık ±0.07 bandında ayırt edilemezdir' — 'δ = 0.05'te eşittir' DEĞİL.</w:t>
      </w:r>
    </w:p>
    <w:p>
      <w:r>
        <w:t>Varyans yan-çıktısı eşitlik tablosunu zenginleştirir: std_diff &gt; std_regime_only dört koşulun üçünde (full, noisy, coarsened) gözlenir. Bu, combined ile regime_only policy'lerinin tohum-eşleşmiş düzeyde aynı fonksiyonu öğrenmediğine işaret eder; etki anlam-düzeyinde eşitliğe yakın olsa da policy-düzeyinde eşitliğe değildir. coarsened panelinde std_combined = 0.177 ile en yüksek değere ulaşır; bu, panel üzerinde görülen birkaç yüksek-Sharpe tohumdan kaynaklanmaktadır.</w:t>
      </w:r>
    </w:p>
    <w:p>
      <w:r>
        <w:t>Mekanizma kimliklendirilmemiştir. Veri çeşitli olası mekanizmalarla (gradyan girişimi, kapasite tahsisi, optimizasyon gürültüsü, veya başka faktörler) tutarlıdır; ancak bu deneyden tek başına hangi mekanizmanın işlediği saptanamaz. Bu nedenle bölüm boyunca 'kategorik-kanal performans bozulması' betimleyici etiketi kullanılmış; mekanizma yüklü terimlerden (örn. 'representation-level effect', 'encoding-interference') kaçınılmıştır. Mekanizma ayrımı, bu deneyin kapsamı dışında kalan ek deneylerle (örn. ablation study, gradient norm tracking, ya da Bayesian linear probing) ele alınmalıdır.</w:t>
      </w:r>
    </w:p>
    <w:p>
      <w:r>
        <w:t>Kapanış: Explicit rejim etiketleri ancak rejim sinyali gözlem uzayında halihazırda örtük olarak mevcut değilse fayda sağlamaktadır — bu, WP5 ana null sonucunun ifadesidir (Bulgu 2). WP6, σ̂_t bozulduğunda dahi kategorik kanalın yarar kazanmadığını ve bu deneysel ortamda sürekli kanalın yanına eklendiğinde performansı yönsel olarak düşürdüğünü göstererek bu bulguyu genişletmektedir. 'Bu deneysel ortamda' kaydı bilinçli bir savunma kaydıdır: bulgu Karar #46'da belirlenen kalibrasyon bandına ilişkindir; kategorik kanalın faydalı olabileceği daha agresif bozulma rejimleri gelecek çalışmaya bırakılmıştır.</w:t>
      </w:r>
    </w:p>
    <w:p>
      <w:pPr>
        <w:pStyle w:val="Heading2"/>
      </w:pPr>
      <w:r>
        <w:t>5.4 Post-hoc Signal Redundancy Diagnostics</w:t>
      </w:r>
    </w:p>
    <w:p>
      <w:r>
        <w:t>WP6 sonrasında yürütülen post-hoc diagnostics, sinyal-yedekliliği yorumunu ana deneyleri yeniden koşturmadan sınayan üç yardımcı test sunar. Kaynak dosyalar predictability_summary.md / predictability_metrics.csv, incremental_value_summary.md / incremental_metrics.csv / model_comparison_table.csv, action_explanation_summary.md / action_model_metrics.csv ve final_signal_redundancy_assessment.md içinde saklanmaktadır. Bu bölüm, bu çıktıları ana metin içinde destekleyici evidence olarak raporlar.</w:t>
      </w:r>
    </w:p>
    <w:p>
      <w:r>
        <w:t>Regime recoverability sonucu çok güçlüdür: source-calibrated modelde regime_hat yalnızca sigma_hat kullanılarak neredeyse tamamen recover edilebilmektedir (balanced accuracy = 0.9998, NMI = 0.9987, macro F1 = 0.9998). Bu bulgu beklenen yöndedir: regime_hat zaten rolling-volatility temelli thresholding ile üretildiği için, kaynak-içi kalibrasyonla sigma_hat'ten yüksek doğrulukla tahmin edilebilir.</w:t>
      </w:r>
    </w:p>
    <w:p>
      <w:r>
        <w:t>İkinci tanı, sigma_hat gözlendikten sonra explicit regime_hat etiketinin gelecek adım mutlak mid-return tahminine ne kattığını ölçer. Model B (sigma_hat + regime_hat), Model A'ya (sigma_hat) göre held-out R²'yi yalnızca +0.000159 değiştirmiştir; MAE değişimi +0.000103, RMSE değişimi -0.000031'dır. Eğitim kümesinde ek step-function terimler istatistiksel olarak seçilebilir olsa da, held-out predictive gain pratik olarak çok küçüktür.</w:t>
      </w:r>
    </w:p>
    <w:p>
      <w:r>
        <w:t>Üçüncü tanı daha sınırlı ve daha temkinli okunmalıdır. Donmuş WP5 curve CSV'leri yalnızca run-level WP2 snapshot ile regime_hat dizisi tam hizalanabildiğinde kullanılmıştır; bu nedenle action analizi 8 hizalanmış curve ile sınırlıdır. Basit sigma-only action modelleri h için ortalama R² = 0.026, m için ortalama R² = -0.102 üretmiştir; bu, PPO action'larının özellikle skew tarafında sigma_hat tarafından tamamen açıklanmadığını gösterir. Buna karşın explicit label eklemek incremental R²'yi h için -0.002, m için +0.003 değiştirmiştir; yani label'ın ek açıklayıcı kazancı sınırlıdır.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Tanı</w:t>
            </w:r>
          </w:p>
        </w:tc>
        <w:tc>
          <w:tcPr>
            <w:tcW w:type="dxa" w:w="2880"/>
          </w:tcPr>
          <w:p>
            <w:r>
              <w:rPr>
                <w:b/>
              </w:rPr>
              <w:t>Ana sayı</w:t>
            </w:r>
          </w:p>
        </w:tc>
        <w:tc>
          <w:tcPr>
            <w:tcW w:type="dxa" w:w="2880"/>
          </w:tcPr>
          <w:p>
            <w:r>
              <w:rPr>
                <w:b/>
              </w:rPr>
              <w:t>Okuma</w:t>
            </w:r>
          </w:p>
        </w:tc>
      </w:tr>
      <w:tr>
        <w:tc>
          <w:tcPr>
            <w:tcW w:type="dxa" w:w="2880"/>
          </w:tcPr>
          <w:p>
            <w:r>
              <w:t>A: regime_hat recoverability</w:t>
            </w:r>
          </w:p>
        </w:tc>
        <w:tc>
          <w:tcPr>
            <w:tcW w:type="dxa" w:w="2880"/>
          </w:tcPr>
          <w:p>
            <w:r>
              <w:t>Balanced accuracy 0.9998; NMI 0.9987</w:t>
            </w:r>
          </w:p>
        </w:tc>
        <w:tc>
          <w:tcPr>
            <w:tcW w:type="dxa" w:w="2880"/>
          </w:tcPr>
          <w:p>
            <w:r>
              <w:t>Observed regime_hat source-calibrated sigma_hat'ten neredeyse tamamen recover edilebilir.</w:t>
            </w:r>
          </w:p>
        </w:tc>
      </w:tr>
      <w:tr>
        <w:tc>
          <w:tcPr>
            <w:tcW w:type="dxa" w:w="2880"/>
          </w:tcPr>
          <w:p>
            <w:r>
              <w:t>B: incremental prediction</w:t>
            </w:r>
          </w:p>
        </w:tc>
        <w:tc>
          <w:tcPr>
            <w:tcW w:type="dxa" w:w="2880"/>
          </w:tcPr>
          <w:p>
            <w:r>
              <w:t>ΔR² +0.000159; ΔMAE +0.000103; ΔRMSE -0.000031</w:t>
            </w:r>
          </w:p>
        </w:tc>
        <w:tc>
          <w:tcPr>
            <w:tcW w:type="dxa" w:w="2880"/>
          </w:tcPr>
          <w:p>
            <w:r>
              <w:t>sigma_hat sonrası explicit label'ın held-out predictive contribution'ı çok küçüktür.</w:t>
            </w:r>
          </w:p>
        </w:tc>
      </w:tr>
      <w:tr>
        <w:tc>
          <w:tcPr>
            <w:tcW w:type="dxa" w:w="2880"/>
          </w:tcPr>
          <w:p>
            <w:r>
              <w:t>C: action explanation</w:t>
            </w:r>
          </w:p>
        </w:tc>
        <w:tc>
          <w:tcPr>
            <w:tcW w:type="dxa" w:w="2880"/>
          </w:tcPr>
          <w:p>
            <w:r>
              <w:t>ΔR² h -0.002; ΔR² m +0.003</w:t>
            </w:r>
          </w:p>
        </w:tc>
        <w:tc>
          <w:tcPr>
            <w:tcW w:type="dxa" w:w="2880"/>
          </w:tcPr>
          <w:p>
            <w:r>
              <w:t>Action-level evidence mixed; limited incremental label gain, causal mechanism proof değil.</w:t>
            </w:r>
          </w:p>
        </w:tc>
      </w:tr>
    </w:tbl>
    <w:p>
      <w:r>
        <w:t>Toplu yorum: Post-hoc diagnostics further support the signal-redundancy interpretation. In the tested synthetic setting, observed categorical regime labels are highly recoverable from source-calibrated sigma_hat and add only limited held-out predictive value once sigma_hat is observed. Action-level regressions show limited incremental explanatory gain from explicit labels, but they do not establish a causal internal PPO mechanism.</w:t>
      </w:r>
    </w:p>
    <w:p>
      <w:pPr>
        <w:pStyle w:val="Heading1"/>
      </w:pPr>
      <w:r>
        <w:t>6.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r>
        <w:t>Bulgu 7: Sinyal informativeness sweep'i (WP6), sigma_hat'in bozulduğu rejimlerde explicit kategorik regime label'larının değer kazanacağı hipotezini reddetti. Test edilen kalibrasyon aralığında, kategorik kanal sigma_only baseline'ının altına yönsel olarak çekti (tüm dört informative condition'da Cohen's dz arası -0.57 ile -0.91; pratik anlamlılık δ=0.05 yalnızca lagged condition'da). Kategorik ve sürekli kanalların birlikte kullanılması, bu deneysel ortamda performansı iyileştirmedi.</w:t>
      </w:r>
    </w:p>
    <w:p>
      <w:r>
        <w:t>Bulgu 8 — Post-hoc Signal Redundancy Diagnostics: Donmuş artifact'lar üzerinde yürütülen tanı analizleri, observed regime_hat etiketinin source-calibrated sigma_hat'ten neredeyse tamamen recover edilebildiğini ve sigma_hat sonrası held-out predictive contribution'ın çok sınırlı kaldığını göstermiştir. Action-level regressions explicit label'ın incremental explanatory gain'inin sınırlı olduğunu gösterse de, PPO'nun içsel causal mekanizmasını kanıtlamaz.</w:t>
      </w:r>
    </w:p>
    <w:p>
      <w:r>
        <w:t>Sonuç olarak, test edilen sentetik HFMM ortamında explicit categorical regime labels, policy'ye zaten sunulan continuous volatility signal'ın ötesinde robust incremental value sağlamamaktadır. Bu ifade ortam ve kalibrasyon bandı ile sınırlıdır; labels'ın sıfır bilgi içerdiği veya tüm piyasa ortamlarında işlevsiz olduğu iddia edilmemektedir.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ListParagraph"/>
      </w:pPr>
      <w:r>
        <w:t>(4) Daha agresif sinyal bozulması: WP6 sweep'i kalibrasyon aralığında (α=0.40 noisy, k=20 lagged, coarsened binning) sigma_hat'in monotonic decay'ini göstermedi. Daha agresif bozulmalar (örn. α=0.80, k=50) bu çalışmanın kapsamı dışındadır; kategorik kanalın değer kazandığı bir rejim mevcutsa, bu aralıkta ortaya çıkabilir.</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src/wp5/figure_thesis_23.py</w:t>
            </w:r>
          </w:p>
        </w:tc>
        <w:tc>
          <w:tcPr>
            <w:tcW w:type="dxa" w:w="4320"/>
          </w:tcPr>
          <w:p>
            <w:r>
              <w:t>Model misspecification ve eta-regime ek figürlerinin üretimi (legacy dosya adı korunmuştur)</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