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uppressAutoHyphens w:val="true"/>
      </w:pPr>
      <w:r>
        <w:rPr>
          <w:b/>
          <w:color w:val="0B2545"/>
          <w:sz w:val="44"/>
        </w:rPr>
        <w:t>High-Frequency Market Making via Reinforcement Learning under Different Volatility Regimes</w:t>
      </w:r>
    </w:p>
    <w:p>
      <w:pPr>
        <w:suppressAutoHyphens w:val="true"/>
      </w:pPr>
    </w:p>
    <w:p>
      <w:pPr>
        <w:jc w:val="center"/>
        <w:suppressAutoHyphens w:val="true"/>
      </w:pPr>
      <w:r>
        <w:rPr>
          <w:b/>
          <w:sz w:val="30"/>
        </w:rPr>
        <w:t>Technical Report Template Adaptation / MSc Thesis Draft</w:t>
      </w:r>
    </w:p>
    <w:p>
      <w:pPr>
        <w:suppressAutoHyphens w:val="true"/>
      </w:pPr>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pPr>
              <w:suppressAutoHyphens w:val="true"/>
            </w:pPr>
            <w:r>
              <w:rPr>
                <w:b/>
                <w:sz w:val="18"/>
              </w:rPr>
              <w:t>Field</w:t>
            </w:r>
          </w:p>
        </w:tc>
        <w:tc>
          <w:tcPr>
            <w:tcW w:type="dxa" w:w="7160"/>
            <w:shd w:fill="F2F4F7"/>
            <w:vAlign w:val="center"/>
            <w:tcMar>
              <w:top w:w="80" w:type="dxa"/>
              <w:start w:w="120" w:type="dxa"/>
              <w:bottom w:w="80" w:type="dxa"/>
              <w:end w:w="120" w:type="dxa"/>
            </w:tcMar>
          </w:tcPr>
          <w:p>
            <w:pPr>
              <w:suppressAutoHyphens w:val="true"/>
            </w:pPr>
            <w:r>
              <w:rPr>
                <w:b/>
                <w:sz w:val="18"/>
              </w:rPr>
              <w:t>Value</w:t>
            </w:r>
          </w:p>
        </w:tc>
      </w:tr>
      <w:tr>
        <w:tc>
          <w:tcPr>
            <w:tcW w:type="dxa" w:w="2200"/>
            <w:vAlign w:val="center"/>
            <w:tcMar>
              <w:top w:w="80" w:type="dxa"/>
              <w:start w:w="120" w:type="dxa"/>
              <w:bottom w:w="80" w:type="dxa"/>
              <w:end w:w="120" w:type="dxa"/>
            </w:tcMar>
          </w:tcPr>
          <w:p>
            <w:pPr>
              <w:suppressAutoHyphens w:val="true"/>
            </w:pPr>
            <w:r>
              <w:rPr>
                <w:sz w:val="18"/>
              </w:rPr>
              <w:t>Author</w:t>
            </w:r>
          </w:p>
        </w:tc>
        <w:tc>
          <w:tcPr>
            <w:tcW w:type="dxa" w:w="7160"/>
            <w:vAlign w:val="center"/>
            <w:tcMar>
              <w:top w:w="80" w:type="dxa"/>
              <w:start w:w="120" w:type="dxa"/>
              <w:bottom w:w="80" w:type="dxa"/>
              <w:end w:w="120" w:type="dxa"/>
            </w:tcMar>
          </w:tcPr>
          <w:p>
            <w:pPr>
              <w:suppressAutoHyphens w:val="true"/>
            </w:pPr>
            <w:r>
              <w:rPr>
                <w:sz w:val="18"/>
              </w:rPr>
              <w:t>Onur Emiroglu</w:t>
            </w:r>
          </w:p>
        </w:tc>
      </w:tr>
      <w:tr>
        <w:tc>
          <w:tcPr>
            <w:tcW w:type="dxa" w:w="2200"/>
            <w:vAlign w:val="center"/>
            <w:tcMar>
              <w:top w:w="80" w:type="dxa"/>
              <w:start w:w="120" w:type="dxa"/>
              <w:bottom w:w="80" w:type="dxa"/>
              <w:end w:w="120" w:type="dxa"/>
            </w:tcMar>
          </w:tcPr>
          <w:p>
            <w:pPr>
              <w:suppressAutoHyphens w:val="true"/>
            </w:pPr>
            <w:r>
              <w:rPr>
                <w:sz w:val="18"/>
              </w:rPr>
              <w:t>Programme</w:t>
            </w:r>
          </w:p>
        </w:tc>
        <w:tc>
          <w:tcPr>
            <w:tcW w:type="dxa" w:w="7160"/>
            <w:vAlign w:val="center"/>
            <w:tcMar>
              <w:top w:w="80" w:type="dxa"/>
              <w:start w:w="120" w:type="dxa"/>
              <w:bottom w:w="80" w:type="dxa"/>
              <w:end w:w="120" w:type="dxa"/>
            </w:tcMar>
          </w:tcPr>
          <w:p>
            <w:pPr>
              <w:suppressAutoHyphens w:val="true"/>
            </w:pPr>
            <w:r>
              <w:rPr>
                <w:sz w:val="18"/>
              </w:rPr>
              <w:t>Financial Engineering MSc Programme</w:t>
            </w:r>
          </w:p>
        </w:tc>
      </w:tr>
      <w:tr>
        <w:tc>
          <w:tcPr>
            <w:tcW w:type="dxa" w:w="2200"/>
            <w:vAlign w:val="center"/>
            <w:tcMar>
              <w:top w:w="80" w:type="dxa"/>
              <w:start w:w="120" w:type="dxa"/>
              <w:bottom w:w="80" w:type="dxa"/>
              <w:end w:w="120" w:type="dxa"/>
            </w:tcMar>
          </w:tcPr>
          <w:p>
            <w:pPr>
              <w:suppressAutoHyphens w:val="true"/>
            </w:pPr>
            <w:r>
              <w:rPr>
                <w:sz w:val="18"/>
              </w:rPr>
              <w:t>Institution</w:t>
            </w:r>
          </w:p>
        </w:tc>
        <w:tc>
          <w:tcPr>
            <w:tcW w:type="dxa" w:w="7160"/>
            <w:vAlign w:val="center"/>
            <w:tcMar>
              <w:top w:w="80" w:type="dxa"/>
              <w:start w:w="120" w:type="dxa"/>
              <w:bottom w:w="80" w:type="dxa"/>
              <w:end w:w="120" w:type="dxa"/>
            </w:tcMar>
          </w:tcPr>
          <w:p>
            <w:pPr>
              <w:suppressAutoHyphens w:val="true"/>
            </w:pPr>
            <w:r>
              <w:rPr>
                <w:sz w:val="18"/>
              </w:rPr>
              <w:t>Karlsruhe Institute of Technology</w:t>
            </w:r>
          </w:p>
        </w:tc>
      </w:tr>
      <w:tr>
        <w:tc>
          <w:tcPr>
            <w:tcW w:type="dxa" w:w="2200"/>
            <w:vAlign w:val="center"/>
            <w:tcMar>
              <w:top w:w="80" w:type="dxa"/>
              <w:start w:w="120" w:type="dxa"/>
              <w:bottom w:w="80" w:type="dxa"/>
              <w:end w:w="120" w:type="dxa"/>
            </w:tcMar>
          </w:tcPr>
          <w:p>
            <w:pPr>
              <w:suppressAutoHyphens w:val="true"/>
            </w:pPr>
            <w:r>
              <w:rPr>
                <w:sz w:val="18"/>
              </w:rPr>
              <w:t>Supervisor</w:t>
            </w:r>
          </w:p>
        </w:tc>
        <w:tc>
          <w:tcPr>
            <w:tcW w:type="dxa" w:w="7160"/>
            <w:vAlign w:val="center"/>
            <w:tcMar>
              <w:top w:w="80" w:type="dxa"/>
              <w:start w:w="120" w:type="dxa"/>
              <w:bottom w:w="80" w:type="dxa"/>
              <w:end w:w="120" w:type="dxa"/>
            </w:tcMar>
          </w:tcPr>
          <w:p>
            <w:pPr>
              <w:suppressAutoHyphens w:val="true"/>
            </w:pPr>
            <w:r>
              <w:rPr>
                <w:sz w:val="18"/>
              </w:rPr>
              <w:t>[Supervisor to be inserted]</w:t>
            </w:r>
          </w:p>
        </w:tc>
      </w:tr>
      <w:tr>
        <w:tc>
          <w:tcPr>
            <w:tcW w:type="dxa" w:w="2200"/>
            <w:vAlign w:val="center"/>
            <w:tcMar>
              <w:top w:w="80" w:type="dxa"/>
              <w:start w:w="120" w:type="dxa"/>
              <w:bottom w:w="80" w:type="dxa"/>
              <w:end w:w="120" w:type="dxa"/>
            </w:tcMar>
          </w:tcPr>
          <w:p>
            <w:pPr>
              <w:suppressAutoHyphens w:val="true"/>
            </w:pPr>
            <w:r>
              <w:rPr>
                <w:sz w:val="18"/>
              </w:rPr>
              <w:t>Matriculation No.</w:t>
            </w:r>
          </w:p>
        </w:tc>
        <w:tc>
          <w:tcPr>
            <w:tcW w:type="dxa" w:w="7160"/>
            <w:vAlign w:val="center"/>
            <w:tcMar>
              <w:top w:w="80" w:type="dxa"/>
              <w:start w:w="120" w:type="dxa"/>
              <w:bottom w:w="80" w:type="dxa"/>
              <w:end w:w="120" w:type="dxa"/>
            </w:tcMar>
          </w:tcPr>
          <w:p>
            <w:pPr>
              <w:suppressAutoHyphens w:val="true"/>
            </w:pPr>
            <w:r>
              <w:rPr>
                <w:sz w:val="18"/>
              </w:rPr>
              <w:t>[Matriculation number to be inserted]</w:t>
            </w:r>
          </w:p>
        </w:tc>
      </w:tr>
      <w:tr>
        <w:tc>
          <w:tcPr>
            <w:tcW w:type="dxa" w:w="2200"/>
            <w:vAlign w:val="center"/>
            <w:tcMar>
              <w:top w:w="80" w:type="dxa"/>
              <w:start w:w="120" w:type="dxa"/>
              <w:bottom w:w="80" w:type="dxa"/>
              <w:end w:w="120" w:type="dxa"/>
            </w:tcMar>
          </w:tcPr>
          <w:p>
            <w:pPr>
              <w:suppressAutoHyphens w:val="true"/>
            </w:pPr>
            <w:r>
              <w:rPr>
                <w:sz w:val="18"/>
              </w:rPr>
              <w:t>Submission / Draft date</w:t>
            </w:r>
          </w:p>
        </w:tc>
        <w:tc>
          <w:tcPr>
            <w:tcW w:type="dxa" w:w="7160"/>
            <w:vAlign w:val="center"/>
            <w:tcMar>
              <w:top w:w="80" w:type="dxa"/>
              <w:start w:w="120" w:type="dxa"/>
              <w:bottom w:w="80" w:type="dxa"/>
              <w:end w:w="120" w:type="dxa"/>
            </w:tcMar>
          </w:tcPr>
          <w:p>
            <w:pPr>
              <w:suppressAutoHyphens w:val="true"/>
            </w:pPr>
            <w:r>
              <w:rPr>
                <w:sz w:val="18"/>
              </w:rPr>
              <w:t>May 2026</w:t>
            </w:r>
          </w:p>
        </w:tc>
      </w:tr>
      <w:tr>
        <w:tc>
          <w:tcPr>
            <w:tcW w:type="dxa" w:w="2200"/>
            <w:vAlign w:val="center"/>
            <w:tcMar>
              <w:top w:w="80" w:type="dxa"/>
              <w:start w:w="120" w:type="dxa"/>
              <w:bottom w:w="80" w:type="dxa"/>
              <w:end w:w="120" w:type="dxa"/>
            </w:tcMar>
          </w:tcPr>
          <w:p>
            <w:pPr>
              <w:suppressAutoHyphens w:val="true"/>
            </w:pPr>
            <w:r>
              <w:rPr>
                <w:sz w:val="18"/>
              </w:rPr>
              <w:t>Git Repository</w:t>
            </w:r>
          </w:p>
        </w:tc>
        <w:tc>
          <w:tcPr>
            <w:tcW w:type="dxa" w:w="7160"/>
            <w:vAlign w:val="center"/>
            <w:tcMar>
              <w:top w:w="80" w:type="dxa"/>
              <w:start w:w="120" w:type="dxa"/>
              <w:bottom w:w="80" w:type="dxa"/>
              <w:end w:w="120" w:type="dxa"/>
            </w:tcMar>
          </w:tcPr>
          <w:p>
            <w:pPr>
              <w:suppressAutoHyphens w:val="true"/>
            </w:pPr>
            <w:r>
              <w:rPr>
                <w:sz w:val="18"/>
              </w:rPr>
              <w:t>[Repository URL to be inserted]</w:t>
            </w:r>
          </w:p>
        </w:tc>
      </w:tr>
      <w:tr>
        <w:tc>
          <w:tcPr>
            <w:tcW w:type="dxa" w:w="2200"/>
            <w:vAlign w:val="center"/>
            <w:tcMar>
              <w:top w:w="80" w:type="dxa"/>
              <w:start w:w="120" w:type="dxa"/>
              <w:bottom w:w="80" w:type="dxa"/>
              <w:end w:w="120" w:type="dxa"/>
            </w:tcMar>
          </w:tcPr>
          <w:p>
            <w:pPr>
              <w:suppressAutoHyphens w:val="true"/>
            </w:pPr>
            <w:r>
              <w:t>Current draft</w:t>
            </w:r>
          </w:p>
        </w:tc>
        <w:tc>
          <w:tcPr>
            <w:tcW w:type="dxa" w:w="7160"/>
            <w:vAlign w:val="center"/>
            <w:tcMar>
              <w:top w:w="80" w:type="dxa"/>
              <w:start w:w="120" w:type="dxa"/>
              <w:bottom w:w="80" w:type="dxa"/>
              <w:end w:w="120" w:type="dxa"/>
            </w:tcMar>
          </w:tcPr>
          <w:p>
            <w:pPr>
              <w:suppressAutoHyphens w:val="true"/>
            </w:pPr>
            <w:r>
              <w:t>manuscript/thesis_33.pdf / .docx</w:t>
            </w:r>
          </w:p>
        </w:tc>
      </w:tr>
      <w:tr>
        <w:tc>
          <w:tcPr>
            <w:tcW w:type="dxa" w:w="2200"/>
            <w:vAlign w:val="center"/>
            <w:tcMar>
              <w:top w:w="80" w:type="dxa"/>
              <w:start w:w="120" w:type="dxa"/>
              <w:bottom w:w="80" w:type="dxa"/>
              <w:end w:w="120" w:type="dxa"/>
            </w:tcMar>
          </w:tcPr>
          <w:p>
            <w:pPr>
              <w:suppressAutoHyphens w:val="true"/>
            </w:pPr>
            <w:r>
              <w:t>Previous source draft</w:t>
            </w:r>
          </w:p>
        </w:tc>
        <w:tc>
          <w:tcPr>
            <w:tcW w:type="dxa" w:w="7160"/>
            <w:vAlign w:val="center"/>
            <w:tcMar>
              <w:top w:w="80" w:type="dxa"/>
              <w:start w:w="120" w:type="dxa"/>
              <w:bottom w:w="80" w:type="dxa"/>
              <w:end w:w="120" w:type="dxa"/>
            </w:tcMar>
          </w:tcPr>
          <w:p>
            <w:pPr>
              <w:suppressAutoHyphens w:val="true"/>
            </w:pPr>
            <w:r>
              <w:t>manuscript/thesis_32.pdf / .docx</w:t>
            </w:r>
          </w:p>
        </w:tc>
      </w:tr>
      <w:tr>
        <w:tc>
          <w:tcPr>
            <w:tcW w:type="dxa" w:w="2200"/>
            <w:vAlign w:val="center"/>
            <w:tcMar>
              <w:top w:w="80" w:type="dxa"/>
              <w:start w:w="120" w:type="dxa"/>
              <w:bottom w:w="80" w:type="dxa"/>
              <w:end w:w="120" w:type="dxa"/>
            </w:tcMar>
          </w:tcPr>
          <w:p>
            <w:pPr>
              <w:suppressAutoHyphens w:val="true"/>
            </w:pPr>
            <w:r>
              <w:t>Frozen baseline</w:t>
            </w:r>
          </w:p>
        </w:tc>
        <w:tc>
          <w:tcPr>
            <w:tcW w:type="dxa" w:w="7160"/>
            <w:vAlign w:val="center"/>
            <w:tcMar>
              <w:top w:w="80" w:type="dxa"/>
              <w:start w:w="120" w:type="dxa"/>
              <w:bottom w:w="80" w:type="dxa"/>
              <w:end w:w="120" w:type="dxa"/>
            </w:tcMar>
          </w:tcPr>
          <w:p>
            <w:pPr>
              <w:suppressAutoHyphens w:val="true"/>
            </w:pPr>
            <w:r>
              <w:t>manuscript/thesis_29.pdf, tag thesis-v29-frozen</w:t>
            </w:r>
          </w:p>
        </w:tc>
      </w:tr>
      <w:tr>
        <w:tc>
          <w:tcPr>
            <w:tcW w:type="dxa" w:w="2200"/>
            <w:vAlign w:val="center"/>
            <w:tcMar>
              <w:top w:w="80" w:type="dxa"/>
              <w:start w:w="120" w:type="dxa"/>
              <w:bottom w:w="80" w:type="dxa"/>
              <w:end w:w="120" w:type="dxa"/>
            </w:tcMar>
          </w:tcPr>
          <w:p>
            <w:pPr>
              <w:suppressAutoHyphens w:val="true"/>
            </w:pPr>
            <w:r>
              <w:t>Decision log</w:t>
            </w:r>
          </w:p>
        </w:tc>
        <w:tc>
          <w:tcPr>
            <w:tcW w:type="dxa" w:w="7160"/>
            <w:vAlign w:val="center"/>
            <w:tcMar>
              <w:top w:w="80" w:type="dxa"/>
              <w:start w:w="120" w:type="dxa"/>
              <w:bottom w:w="80" w:type="dxa"/>
              <w:end w:w="120" w:type="dxa"/>
            </w:tcMar>
          </w:tcPr>
          <w:p>
            <w:pPr>
              <w:suppressAutoHyphens w:val="true"/>
            </w:pPr>
            <w:r>
              <w:t>manuscript/decisions_log_13.pdf</w:t>
            </w:r>
          </w:p>
        </w:tc>
      </w:tr>
    </w:tbl>
    <w:p>
      <w:pPr>
        <w:suppressAutoHyphens w:val="true"/>
      </w:pPr>
    </w:p>
    <w:p>
      <w:pPr>
        <w:jc w:val="center"/>
        <w:suppressAutoHyphens w:val="true"/>
      </w:pPr>
      <w:r>
        <w:rPr>
          <w:b/>
        </w:rPr>
        <w:t>Academic-polish draft; frozen evidence is not regenerated.</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w:t>
      </w:r>
    </w:p>
    <w:p>
      <w:pPr>
        <w:suppressAutoHyphens w:val="true"/>
      </w:pPr>
      <w:r>
        <w:br w:type="page"/>
      </w:r>
    </w:p>
    <w:p>
      <w:pPr>
        <w:pStyle w:val="Heading1"/>
        <w:suppressAutoHyphens w:val="true"/>
      </w:pPr>
      <w:r>
        <w:t>Abstract</w:t>
      </w:r>
    </w:p>
    <w:p>
      <w:pPr>
        <w:suppressAutoHyphens w:val="true"/>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pPr>
        <w:pStyle w:val="Heading1"/>
        <w:suppressAutoHyphens w:val="true"/>
      </w:pPr>
      <w:r>
        <w:t>Symbols, Abbreviations, and Glossary</w:t>
      </w:r>
    </w:p>
    <w:tbl>
      <w:tblPr>
        <w:tblStyle w:val="TableGrid"/>
        <w:tblW w:type="dxa" w:w="9360"/>
        <w:tblLook w:firstColumn="1" w:firstRow="1" w:lastColumn="0" w:lastRow="0" w:noHBand="0" w:noVBand="1" w:val="04A0"/>
        <w:tblInd w:w="120" w:type="dxa"/>
        <w:tblLayout w:type="fixed"/>
      </w:tblPr>
      <w:tblGrid>
        <w:gridCol w:w="1600"/>
        <w:gridCol w:w="7760"/>
      </w:tblGrid>
      <w:tr>
        <w:tc>
          <w:tcPr>
            <w:tcW w:type="dxa" w:w="1600"/>
            <w:shd w:fill="F2F4F7"/>
            <w:vAlign w:val="center"/>
            <w:tcMar>
              <w:top w:w="80" w:type="dxa"/>
              <w:start w:w="120" w:type="dxa"/>
              <w:bottom w:w="80" w:type="dxa"/>
              <w:end w:w="120" w:type="dxa"/>
            </w:tcMar>
          </w:tcPr>
          <w:p>
            <w:pPr>
              <w:suppressAutoHyphens w:val="true"/>
            </w:pPr>
            <w:r>
              <w:rPr>
                <w:b/>
                <w:sz w:val="18"/>
              </w:rPr>
              <w:t>Symbol</w:t>
            </w:r>
          </w:p>
        </w:tc>
        <w:tc>
          <w:tcPr>
            <w:tcW w:type="dxa" w:w="7760"/>
            <w:shd w:fill="F2F4F7"/>
            <w:vAlign w:val="center"/>
            <w:tcMar>
              <w:top w:w="80" w:type="dxa"/>
              <w:start w:w="120" w:type="dxa"/>
              <w:bottom w:w="80" w:type="dxa"/>
              <w:end w:w="120" w:type="dxa"/>
            </w:tcMar>
          </w:tcPr>
          <w:p>
            <w:pPr>
              <w:suppressAutoHyphens w:val="true"/>
            </w:pPr>
            <w:r>
              <w:rPr>
                <w:b/>
                <w:sz w:val="18"/>
              </w:rPr>
              <w:t>Meaning</w:t>
            </w:r>
          </w:p>
        </w:tc>
      </w:tr>
      <w:tr>
        <w:tc>
          <w:tcPr>
            <w:tcW w:type="dxa" w:w="1600"/>
            <w:vAlign w:val="center"/>
            <w:tcMar>
              <w:top w:w="80" w:type="dxa"/>
              <w:start w:w="120" w:type="dxa"/>
              <w:bottom w:w="80" w:type="dxa"/>
              <w:end w:w="120" w:type="dxa"/>
            </w:tcMar>
          </w:tcPr>
          <w:p>
            <w:pPr>
              <w:suppressAutoHyphens w:val="true"/>
            </w:pPr>
            <w:r>
              <w:rPr>
                <w:sz w:val="18"/>
              </w:rPr>
              <w:t>S_t</w:t>
            </w:r>
          </w:p>
        </w:tc>
        <w:tc>
          <w:tcPr>
            <w:tcW w:type="dxa" w:w="7760"/>
            <w:vAlign w:val="center"/>
            <w:tcMar>
              <w:top w:w="80" w:type="dxa"/>
              <w:start w:w="120" w:type="dxa"/>
              <w:bottom w:w="80" w:type="dxa"/>
              <w:end w:w="120" w:type="dxa"/>
            </w:tcMar>
          </w:tcPr>
          <w:p>
            <w:pPr>
              <w:suppressAutoHyphens w:val="true"/>
            </w:pPr>
            <w:r>
              <w:rPr>
                <w:sz w:val="18"/>
              </w:rPr>
              <w:t>Mid-price at time step t.</w:t>
            </w:r>
          </w:p>
        </w:tc>
      </w:tr>
      <w:tr>
        <w:tc>
          <w:tcPr>
            <w:tcW w:type="dxa" w:w="1600"/>
            <w:vAlign w:val="center"/>
            <w:tcMar>
              <w:top w:w="80" w:type="dxa"/>
              <w:start w:w="120" w:type="dxa"/>
              <w:bottom w:w="80" w:type="dxa"/>
              <w:end w:w="120" w:type="dxa"/>
            </w:tcMar>
          </w:tcPr>
          <w:p>
            <w:pPr>
              <w:suppressAutoHyphens w:val="true"/>
            </w:pPr>
            <w:r>
              <w:rPr>
                <w:sz w:val="18"/>
              </w:rPr>
              <w:t>q_t</w:t>
            </w:r>
          </w:p>
        </w:tc>
        <w:tc>
          <w:tcPr>
            <w:tcW w:type="dxa" w:w="7760"/>
            <w:vAlign w:val="center"/>
            <w:tcMar>
              <w:top w:w="80" w:type="dxa"/>
              <w:start w:w="120" w:type="dxa"/>
              <w:bottom w:w="80" w:type="dxa"/>
              <w:end w:w="120" w:type="dxa"/>
            </w:tcMar>
          </w:tcPr>
          <w:p>
            <w:pPr>
              <w:suppressAutoHyphens w:val="true"/>
            </w:pPr>
            <w:r>
              <w:rPr>
                <w:sz w:val="18"/>
              </w:rPr>
              <w:t>Inventory after step t.</w:t>
            </w:r>
          </w:p>
        </w:tc>
      </w:tr>
      <w:tr>
        <w:tc>
          <w:tcPr>
            <w:tcW w:type="dxa" w:w="1600"/>
            <w:vAlign w:val="center"/>
            <w:tcMar>
              <w:top w:w="80" w:type="dxa"/>
              <w:start w:w="120" w:type="dxa"/>
              <w:bottom w:w="80" w:type="dxa"/>
              <w:end w:w="120" w:type="dxa"/>
            </w:tcMar>
          </w:tcPr>
          <w:p>
            <w:pPr>
              <w:suppressAutoHyphens w:val="true"/>
            </w:pPr>
            <w:r>
              <w:rPr>
                <w:sz w:val="18"/>
              </w:rPr>
              <w:t>X_t</w:t>
            </w:r>
          </w:p>
        </w:tc>
        <w:tc>
          <w:tcPr>
            <w:tcW w:type="dxa" w:w="7760"/>
            <w:vAlign w:val="center"/>
            <w:tcMar>
              <w:top w:w="80" w:type="dxa"/>
              <w:start w:w="120" w:type="dxa"/>
              <w:bottom w:w="80" w:type="dxa"/>
              <w:end w:w="120" w:type="dxa"/>
            </w:tcMar>
          </w:tcPr>
          <w:p>
            <w:pPr>
              <w:suppressAutoHyphens w:val="true"/>
            </w:pPr>
            <w:r>
              <w:rPr>
                <w:sz w:val="18"/>
              </w:rPr>
              <w:t>Cash account after step t.</w:t>
            </w:r>
          </w:p>
        </w:tc>
      </w:tr>
      <w:tr>
        <w:tc>
          <w:tcPr>
            <w:tcW w:type="dxa" w:w="1600"/>
            <w:vAlign w:val="center"/>
            <w:tcMar>
              <w:top w:w="80" w:type="dxa"/>
              <w:start w:w="120" w:type="dxa"/>
              <w:bottom w:w="80" w:type="dxa"/>
              <w:end w:w="120" w:type="dxa"/>
            </w:tcMar>
          </w:tcPr>
          <w:p>
            <w:pPr>
              <w:suppressAutoHyphens w:val="true"/>
            </w:pPr>
            <w:r>
              <w:rPr>
                <w:sz w:val="18"/>
              </w:rPr>
              <w:t>W_t</w:t>
            </w:r>
          </w:p>
        </w:tc>
        <w:tc>
          <w:tcPr>
            <w:tcW w:type="dxa" w:w="7760"/>
            <w:vAlign w:val="center"/>
            <w:tcMar>
              <w:top w:w="80" w:type="dxa"/>
              <w:start w:w="120" w:type="dxa"/>
              <w:bottom w:w="80" w:type="dxa"/>
              <w:end w:w="120" w:type="dxa"/>
            </w:tcMar>
          </w:tcPr>
          <w:p>
            <w:pPr>
              <w:suppressAutoHyphens w:val="true"/>
            </w:pPr>
            <w:r>
              <w:rPr>
                <w:sz w:val="18"/>
              </w:rPr>
              <w:t>Marked-to-market wealth or equity, W_t = X_t + q_t S_t.</w:t>
            </w:r>
          </w:p>
        </w:tc>
      </w:tr>
      <w:tr>
        <w:tc>
          <w:tcPr>
            <w:tcW w:type="dxa" w:w="1600"/>
            <w:vAlign w:val="center"/>
            <w:tcMar>
              <w:top w:w="80" w:type="dxa"/>
              <w:start w:w="120" w:type="dxa"/>
              <w:bottom w:w="80" w:type="dxa"/>
              <w:end w:w="120" w:type="dxa"/>
            </w:tcMar>
          </w:tcPr>
          <w:p>
            <w:pPr>
              <w:suppressAutoHyphens w:val="true"/>
            </w:pPr>
            <w:r>
              <w:rPr>
                <w:sz w:val="18"/>
              </w:rPr>
              <w:t>sigma_hat</w:t>
            </w:r>
          </w:p>
        </w:tc>
        <w:tc>
          <w:tcPr>
            <w:tcW w:type="dxa" w:w="7760"/>
            <w:vAlign w:val="center"/>
            <w:tcMar>
              <w:top w:w="80" w:type="dxa"/>
              <w:start w:w="120" w:type="dxa"/>
              <w:bottom w:w="80" w:type="dxa"/>
              <w:end w:w="120" w:type="dxa"/>
            </w:tcMar>
          </w:tcPr>
          <w:p>
            <w:pPr>
              <w:suppressAutoHyphens w:val="true"/>
            </w:pPr>
            <w:r>
              <w:rPr>
                <w:sz w:val="18"/>
              </w:rPr>
              <w:t>Rolling realized-volatility estimate observed by the PPO policy.</w:t>
            </w:r>
          </w:p>
        </w:tc>
      </w:tr>
      <w:tr>
        <w:tc>
          <w:tcPr>
            <w:tcW w:type="dxa" w:w="1600"/>
            <w:vAlign w:val="center"/>
            <w:tcMar>
              <w:top w:w="80" w:type="dxa"/>
              <w:start w:w="120" w:type="dxa"/>
              <w:bottom w:w="80" w:type="dxa"/>
              <w:end w:w="120" w:type="dxa"/>
            </w:tcMar>
          </w:tcPr>
          <w:p>
            <w:pPr>
              <w:suppressAutoHyphens w:val="true"/>
            </w:pPr>
            <w:r>
              <w:rPr>
                <w:sz w:val="18"/>
              </w:rPr>
              <w:t>R_t</w:t>
            </w:r>
          </w:p>
        </w:tc>
        <w:tc>
          <w:tcPr>
            <w:tcW w:type="dxa" w:w="7760"/>
            <w:vAlign w:val="center"/>
            <w:tcMar>
              <w:top w:w="80" w:type="dxa"/>
              <w:start w:w="120" w:type="dxa"/>
              <w:bottom w:w="80" w:type="dxa"/>
              <w:end w:w="120" w:type="dxa"/>
            </w:tcMar>
          </w:tcPr>
          <w:p>
            <w:pPr>
              <w:suppressAutoHyphens w:val="true"/>
            </w:pPr>
            <w:r>
              <w:rPr>
                <w:sz w:val="18"/>
              </w:rPr>
              <w:t>Reward at time t.</w:t>
            </w:r>
          </w:p>
        </w:tc>
      </w:tr>
      <w:tr>
        <w:tc>
          <w:tcPr>
            <w:tcW w:type="dxa" w:w="1600"/>
            <w:vAlign w:val="center"/>
            <w:tcMar>
              <w:top w:w="80" w:type="dxa"/>
              <w:start w:w="120" w:type="dxa"/>
              <w:bottom w:w="80" w:type="dxa"/>
              <w:end w:w="120" w:type="dxa"/>
            </w:tcMar>
          </w:tcPr>
          <w:p>
            <w:pPr>
              <w:suppressAutoHyphens w:val="true"/>
            </w:pPr>
            <w:r>
              <w:rPr>
                <w:sz w:val="18"/>
              </w:rPr>
              <w:t>h</w:t>
            </w:r>
          </w:p>
        </w:tc>
        <w:tc>
          <w:tcPr>
            <w:tcW w:type="dxa" w:w="7760"/>
            <w:vAlign w:val="center"/>
            <w:tcMar>
              <w:top w:w="80" w:type="dxa"/>
              <w:start w:w="120" w:type="dxa"/>
              <w:bottom w:w="80" w:type="dxa"/>
              <w:end w:w="120" w:type="dxa"/>
            </w:tcMar>
          </w:tcPr>
          <w:p>
            <w:pPr>
              <w:suppressAutoHyphens w:val="true"/>
            </w:pPr>
            <w:r>
              <w:rPr>
                <w:sz w:val="18"/>
              </w:rPr>
              <w:t>Quoted half-spread in ticks.</w:t>
            </w:r>
          </w:p>
        </w:tc>
      </w:tr>
      <w:tr>
        <w:tc>
          <w:tcPr>
            <w:tcW w:type="dxa" w:w="1600"/>
            <w:vAlign w:val="center"/>
            <w:tcMar>
              <w:top w:w="80" w:type="dxa"/>
              <w:start w:w="120" w:type="dxa"/>
              <w:bottom w:w="80" w:type="dxa"/>
              <w:end w:w="120" w:type="dxa"/>
            </w:tcMar>
          </w:tcPr>
          <w:p>
            <w:pPr>
              <w:suppressAutoHyphens w:val="true"/>
            </w:pPr>
            <w:r>
              <w:rPr>
                <w:sz w:val="18"/>
              </w:rPr>
              <w:t>m</w:t>
            </w:r>
          </w:p>
        </w:tc>
        <w:tc>
          <w:tcPr>
            <w:tcW w:type="dxa" w:w="7760"/>
            <w:vAlign w:val="center"/>
            <w:tcMar>
              <w:top w:w="80" w:type="dxa"/>
              <w:start w:w="120" w:type="dxa"/>
              <w:bottom w:w="80" w:type="dxa"/>
              <w:end w:w="120" w:type="dxa"/>
            </w:tcMar>
          </w:tcPr>
          <w:p>
            <w:pPr>
              <w:suppressAutoHyphens w:val="true"/>
            </w:pPr>
            <w:r>
              <w:rPr>
                <w:sz w:val="18"/>
              </w:rPr>
              <w:t>Quote skew in ticks.</w:t>
            </w:r>
          </w:p>
        </w:tc>
      </w:tr>
      <w:tr>
        <w:tc>
          <w:tcPr>
            <w:tcW w:type="dxa" w:w="1600"/>
            <w:vAlign w:val="center"/>
            <w:tcMar>
              <w:top w:w="80" w:type="dxa"/>
              <w:start w:w="120" w:type="dxa"/>
              <w:bottom w:w="80" w:type="dxa"/>
              <w:end w:w="120" w:type="dxa"/>
            </w:tcMar>
          </w:tcPr>
          <w:p>
            <w:pPr>
              <w:suppressAutoHyphens w:val="true"/>
            </w:pPr>
            <w:r>
              <w:rPr>
                <w:sz w:val="18"/>
              </w:rPr>
              <w:t>A, k</w:t>
            </w:r>
          </w:p>
        </w:tc>
        <w:tc>
          <w:tcPr>
            <w:tcW w:type="dxa" w:w="7760"/>
            <w:vAlign w:val="center"/>
            <w:tcMar>
              <w:top w:w="80" w:type="dxa"/>
              <w:start w:w="120" w:type="dxa"/>
              <w:bottom w:w="80" w:type="dxa"/>
              <w:end w:w="120" w:type="dxa"/>
            </w:tcMar>
          </w:tcPr>
          <w:p>
            <w:pPr>
              <w:suppressAutoHyphens w:val="true"/>
            </w:pPr>
            <w:r>
              <w:rPr>
                <w:sz w:val="18"/>
              </w:rPr>
              <w:t>Poisson fill-intensity scale and decay parameters.</w:t>
            </w:r>
          </w:p>
        </w:tc>
      </w:tr>
      <w:tr>
        <w:tc>
          <w:tcPr>
            <w:tcW w:type="dxa" w:w="1600"/>
            <w:vAlign w:val="center"/>
            <w:tcMar>
              <w:top w:w="80" w:type="dxa"/>
              <w:start w:w="120" w:type="dxa"/>
              <w:bottom w:w="80" w:type="dxa"/>
              <w:end w:w="120" w:type="dxa"/>
            </w:tcMar>
          </w:tcPr>
          <w:p>
            <w:pPr>
              <w:suppressAutoHyphens w:val="true"/>
            </w:pPr>
            <w:r>
              <w:rPr>
                <w:sz w:val="18"/>
              </w:rPr>
              <w:t>eta</w:t>
            </w:r>
          </w:p>
        </w:tc>
        <w:tc>
          <w:tcPr>
            <w:tcW w:type="dxa" w:w="7760"/>
            <w:vAlign w:val="center"/>
            <w:tcMar>
              <w:top w:w="80" w:type="dxa"/>
              <w:start w:w="120" w:type="dxa"/>
              <w:bottom w:w="80" w:type="dxa"/>
              <w:end w:w="120" w:type="dxa"/>
            </w:tcMar>
          </w:tcPr>
          <w:p>
            <w:pPr>
              <w:suppressAutoHyphens w:val="true"/>
            </w:pPr>
            <w:r>
              <w:rPr>
                <w:sz w:val="18"/>
              </w:rPr>
              <w:t>Inventory penalty coefficient.</w:t>
            </w:r>
          </w:p>
        </w:tc>
      </w:tr>
      <w:tr>
        <w:tc>
          <w:tcPr>
            <w:tcW w:type="dxa" w:w="1600"/>
            <w:vAlign w:val="center"/>
            <w:tcMar>
              <w:top w:w="80" w:type="dxa"/>
              <w:start w:w="120" w:type="dxa"/>
              <w:bottom w:w="80" w:type="dxa"/>
              <w:end w:w="120" w:type="dxa"/>
            </w:tcMar>
          </w:tcPr>
          <w:p>
            <w:pPr>
              <w:suppressAutoHyphens w:val="true"/>
            </w:pPr>
            <w:r>
              <w:rPr>
                <w:sz w:val="18"/>
              </w:rPr>
              <w:t>gamma</w:t>
            </w:r>
          </w:p>
        </w:tc>
        <w:tc>
          <w:tcPr>
            <w:tcW w:type="dxa" w:w="7760"/>
            <w:vAlign w:val="center"/>
            <w:tcMar>
              <w:top w:w="80" w:type="dxa"/>
              <w:start w:w="120" w:type="dxa"/>
              <w:bottom w:w="80" w:type="dxa"/>
              <w:end w:w="120" w:type="dxa"/>
            </w:tcMar>
          </w:tcPr>
          <w:p>
            <w:pPr>
              <w:suppressAutoHyphens w:val="true"/>
            </w:pPr>
            <w:r>
              <w:rPr>
                <w:sz w:val="18"/>
              </w:rPr>
              <w:t>Avellaneda-Stoikov inventory-risk aversion parameter.</w:t>
            </w:r>
          </w:p>
        </w:tc>
      </w:tr>
      <w:tr>
        <w:tc>
          <w:tcPr>
            <w:tcW w:type="dxa" w:w="1600"/>
            <w:vAlign w:val="center"/>
            <w:tcMar>
              <w:top w:w="80" w:type="dxa"/>
              <w:start w:w="120" w:type="dxa"/>
              <w:bottom w:w="80" w:type="dxa"/>
              <w:end w:w="120" w:type="dxa"/>
            </w:tcMar>
          </w:tcPr>
          <w:p>
            <w:pPr>
              <w:suppressAutoHyphens w:val="true"/>
            </w:pPr>
            <w:r>
              <w:rPr>
                <w:sz w:val="18"/>
              </w:rPr>
              <w:t>tau</w:t>
            </w:r>
          </w:p>
        </w:tc>
        <w:tc>
          <w:tcPr>
            <w:tcW w:type="dxa" w:w="7760"/>
            <w:vAlign w:val="center"/>
            <w:tcMar>
              <w:top w:w="80" w:type="dxa"/>
              <w:start w:w="120" w:type="dxa"/>
              <w:bottom w:w="80" w:type="dxa"/>
              <w:end w:w="120" w:type="dxa"/>
            </w:tcMar>
          </w:tcPr>
          <w:p>
            <w:pPr>
              <w:suppressAutoHyphens w:val="true"/>
            </w:pPr>
            <w:r>
              <w:rPr>
                <w:sz w:val="18"/>
              </w:rPr>
              <w:t>Remaining horizon.</w:t>
            </w:r>
          </w:p>
        </w:tc>
      </w:tr>
      <w:tr>
        <w:tc>
          <w:tcPr>
            <w:tcW w:type="dxa" w:w="1600"/>
            <w:vAlign w:val="center"/>
            <w:tcMar>
              <w:top w:w="80" w:type="dxa"/>
              <w:start w:w="120" w:type="dxa"/>
              <w:bottom w:w="80" w:type="dxa"/>
              <w:end w:w="120" w:type="dxa"/>
            </w:tcMar>
          </w:tcPr>
          <w:p>
            <w:pPr>
              <w:suppressAutoHyphens w:val="true"/>
            </w:pPr>
            <w:r>
              <w:rPr>
                <w:sz w:val="18"/>
              </w:rPr>
              <w:t>lambda(delta)</w:t>
            </w:r>
          </w:p>
        </w:tc>
        <w:tc>
          <w:tcPr>
            <w:tcW w:type="dxa" w:w="7760"/>
            <w:vAlign w:val="center"/>
            <w:tcMar>
              <w:top w:w="80" w:type="dxa"/>
              <w:start w:w="120" w:type="dxa"/>
              <w:bottom w:w="80" w:type="dxa"/>
              <w:end w:w="120" w:type="dxa"/>
            </w:tcMar>
          </w:tcPr>
          <w:p>
            <w:pPr>
              <w:suppressAutoHyphens w:val="true"/>
            </w:pPr>
            <w:r>
              <w:rPr>
                <w:sz w:val="18"/>
              </w:rPr>
              <w:t>Poisson fill intensity at quote distance delta.</w:t>
            </w:r>
          </w:p>
        </w:tc>
      </w:tr>
      <w:tr>
        <w:tc>
          <w:tcPr>
            <w:tcW w:type="dxa" w:w="1600"/>
            <w:vAlign w:val="center"/>
            <w:tcMar>
              <w:top w:w="80" w:type="dxa"/>
              <w:start w:w="120" w:type="dxa"/>
              <w:bottom w:w="80" w:type="dxa"/>
              <w:end w:w="120" w:type="dxa"/>
            </w:tcMar>
          </w:tcPr>
          <w:p>
            <w:pPr>
              <w:suppressAutoHyphens w:val="true"/>
            </w:pPr>
            <w:r>
              <w:rPr>
                <w:sz w:val="18"/>
              </w:rPr>
              <w:t>delta, delta_bid, delta_ask</w:t>
            </w:r>
          </w:p>
        </w:tc>
        <w:tc>
          <w:tcPr>
            <w:tcW w:type="dxa" w:w="7760"/>
            <w:vAlign w:val="center"/>
            <w:tcMar>
              <w:top w:w="80" w:type="dxa"/>
              <w:start w:w="120" w:type="dxa"/>
              <w:bottom w:w="80" w:type="dxa"/>
              <w:end w:w="120" w:type="dxa"/>
            </w:tcMar>
          </w:tcPr>
          <w:p>
            <w:pPr>
              <w:suppressAutoHyphens w:val="true"/>
            </w:pPr>
            <w:r>
              <w:rPr>
                <w:sz w:val="18"/>
              </w:rPr>
              <w:t>Quote distance variables.</w:t>
            </w:r>
          </w:p>
        </w:tc>
      </w:tr>
      <w:tr>
        <w:tc>
          <w:tcPr>
            <w:tcW w:type="dxa" w:w="1600"/>
            <w:vAlign w:val="center"/>
            <w:tcMar>
              <w:top w:w="80" w:type="dxa"/>
              <w:start w:w="120" w:type="dxa"/>
              <w:bottom w:w="80" w:type="dxa"/>
              <w:end w:w="120" w:type="dxa"/>
            </w:tcMar>
          </w:tcPr>
          <w:p>
            <w:pPr>
              <w:suppressAutoHyphens w:val="true"/>
            </w:pPr>
            <w:r>
              <w:rPr>
                <w:sz w:val="18"/>
              </w:rPr>
              <w:t>rho_t(theta)</w:t>
            </w:r>
          </w:p>
        </w:tc>
        <w:tc>
          <w:tcPr>
            <w:tcW w:type="dxa" w:w="7760"/>
            <w:vAlign w:val="center"/>
            <w:tcMar>
              <w:top w:w="80" w:type="dxa"/>
              <w:start w:w="120" w:type="dxa"/>
              <w:bottom w:w="80" w:type="dxa"/>
              <w:end w:w="120" w:type="dxa"/>
            </w:tcMar>
          </w:tcPr>
          <w:p>
            <w:pPr>
              <w:suppressAutoHyphens w:val="true"/>
            </w:pPr>
            <w:r>
              <w:rPr>
                <w:sz w:val="18"/>
              </w:rPr>
              <w:t>PPO probability ratio.</w:t>
            </w:r>
          </w:p>
        </w:tc>
      </w:tr>
      <w:tr>
        <w:tc>
          <w:tcPr>
            <w:tcW w:type="dxa" w:w="1600"/>
            <w:vAlign w:val="center"/>
            <w:tcMar>
              <w:top w:w="80" w:type="dxa"/>
              <w:start w:w="120" w:type="dxa"/>
              <w:bottom w:w="80" w:type="dxa"/>
              <w:end w:w="120" w:type="dxa"/>
            </w:tcMar>
          </w:tcPr>
          <w:p>
            <w:pPr>
              <w:suppressAutoHyphens w:val="true"/>
            </w:pPr>
            <w:r>
              <w:rPr>
                <w:sz w:val="18"/>
              </w:rPr>
              <w:t>A_hat_t</w:t>
            </w:r>
          </w:p>
        </w:tc>
        <w:tc>
          <w:tcPr>
            <w:tcW w:type="dxa" w:w="7760"/>
            <w:vAlign w:val="center"/>
            <w:tcMar>
              <w:top w:w="80" w:type="dxa"/>
              <w:start w:w="120" w:type="dxa"/>
              <w:bottom w:w="80" w:type="dxa"/>
              <w:end w:w="120" w:type="dxa"/>
            </w:tcMar>
          </w:tcPr>
          <w:p>
            <w:pPr>
              <w:suppressAutoHyphens w:val="true"/>
            </w:pPr>
            <w:r>
              <w:rPr>
                <w:sz w:val="18"/>
              </w:rPr>
              <w:t>Advantage estimate.</w:t>
            </w:r>
          </w:p>
        </w:tc>
      </w:tr>
      <w:tr>
        <w:tc>
          <w:tcPr>
            <w:tcW w:type="dxa" w:w="1600"/>
            <w:vAlign w:val="center"/>
            <w:tcMar>
              <w:top w:w="80" w:type="dxa"/>
              <w:start w:w="120" w:type="dxa"/>
              <w:bottom w:w="80" w:type="dxa"/>
              <w:end w:w="120" w:type="dxa"/>
            </w:tcMar>
          </w:tcPr>
          <w:p>
            <w:pPr>
              <w:suppressAutoHyphens w:val="true"/>
            </w:pPr>
            <w:r>
              <w:rPr>
                <w:sz w:val="18"/>
              </w:rPr>
              <w:t>epsilon_t</w:t>
            </w:r>
          </w:p>
        </w:tc>
        <w:tc>
          <w:tcPr>
            <w:tcW w:type="dxa" w:w="7760"/>
            <w:vAlign w:val="center"/>
            <w:tcMar>
              <w:top w:w="80" w:type="dxa"/>
              <w:start w:w="120" w:type="dxa"/>
              <w:bottom w:w="80" w:type="dxa"/>
              <w:end w:w="120" w:type="dxa"/>
            </w:tcMar>
          </w:tcPr>
          <w:p>
            <w:pPr>
              <w:suppressAutoHyphens w:val="true"/>
            </w:pPr>
            <w:r>
              <w:rPr>
                <w:sz w:val="18"/>
              </w:rPr>
              <w:t>Standard-normal innovation in the mid-price process.</w:t>
            </w:r>
          </w:p>
        </w:tc>
      </w:tr>
      <w:tr>
        <w:tc>
          <w:tcPr>
            <w:tcW w:type="dxa" w:w="1600"/>
            <w:vAlign w:val="center"/>
            <w:tcMar>
              <w:top w:w="80" w:type="dxa"/>
              <w:start w:w="120" w:type="dxa"/>
              <w:bottom w:w="80" w:type="dxa"/>
              <w:end w:w="120" w:type="dxa"/>
            </w:tcMar>
          </w:tcPr>
          <w:p>
            <w:pPr>
              <w:suppressAutoHyphens w:val="true"/>
            </w:pPr>
            <w:r>
              <w:rPr>
                <w:sz w:val="18"/>
              </w:rPr>
              <w:t>z_t</w:t>
            </w:r>
          </w:p>
        </w:tc>
        <w:tc>
          <w:tcPr>
            <w:tcW w:type="dxa" w:w="7760"/>
            <w:vAlign w:val="center"/>
            <w:tcMar>
              <w:top w:w="80" w:type="dxa"/>
              <w:start w:w="120" w:type="dxa"/>
              <w:bottom w:w="80" w:type="dxa"/>
              <w:end w:w="120" w:type="dxa"/>
            </w:tcMar>
          </w:tcPr>
          <w:p>
            <w:pPr>
              <w:suppressAutoHyphens w:val="true"/>
            </w:pPr>
            <w:r>
              <w:rPr>
                <w:sz w:val="18"/>
              </w:rPr>
              <w:t>Latent volatility regime.</w:t>
            </w:r>
          </w:p>
        </w:tc>
      </w:tr>
      <w:tr>
        <w:tc>
          <w:tcPr>
            <w:tcW w:type="dxa" w:w="1600"/>
            <w:vAlign w:val="center"/>
            <w:tcMar>
              <w:top w:w="80" w:type="dxa"/>
              <w:start w:w="120" w:type="dxa"/>
              <w:bottom w:w="80" w:type="dxa"/>
              <w:end w:w="120" w:type="dxa"/>
            </w:tcMar>
          </w:tcPr>
          <w:p>
            <w:pPr>
              <w:suppressAutoHyphens w:val="true"/>
            </w:pPr>
            <w:r>
              <w:rPr>
                <w:sz w:val="18"/>
              </w:rPr>
              <w:t>P_ij</w:t>
            </w:r>
          </w:p>
        </w:tc>
        <w:tc>
          <w:tcPr>
            <w:tcW w:type="dxa" w:w="7760"/>
            <w:vAlign w:val="center"/>
            <w:tcMar>
              <w:top w:w="80" w:type="dxa"/>
              <w:start w:w="120" w:type="dxa"/>
              <w:bottom w:w="80" w:type="dxa"/>
              <w:end w:w="120" w:type="dxa"/>
            </w:tcMar>
          </w:tcPr>
          <w:p>
            <w:pPr>
              <w:suppressAutoHyphens w:val="true"/>
            </w:pPr>
            <w:r>
              <w:rPr>
                <w:sz w:val="18"/>
              </w:rPr>
              <w:t>Markov transition probability.</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1800"/>
        <w:gridCol w:w="7560"/>
      </w:tblGrid>
      <w:tr>
        <w:tc>
          <w:tcPr>
            <w:tcW w:type="dxa" w:w="1800"/>
            <w:shd w:fill="F2F4F7"/>
            <w:vAlign w:val="center"/>
            <w:tcMar>
              <w:top w:w="80" w:type="dxa"/>
              <w:start w:w="120" w:type="dxa"/>
              <w:bottom w:w="80" w:type="dxa"/>
              <w:end w:w="120" w:type="dxa"/>
            </w:tcMar>
          </w:tcPr>
          <w:p>
            <w:pPr>
              <w:suppressAutoHyphens w:val="true"/>
            </w:pPr>
            <w:r>
              <w:rPr>
                <w:b/>
                <w:sz w:val="18"/>
              </w:rPr>
              <w:t>Abbreviation</w:t>
            </w:r>
          </w:p>
        </w:tc>
        <w:tc>
          <w:tcPr>
            <w:tcW w:type="dxa" w:w="7560"/>
            <w:shd w:fill="F2F4F7"/>
            <w:vAlign w:val="center"/>
            <w:tcMar>
              <w:top w:w="80" w:type="dxa"/>
              <w:start w:w="120" w:type="dxa"/>
              <w:bottom w:w="80" w:type="dxa"/>
              <w:end w:w="120" w:type="dxa"/>
            </w:tcMar>
          </w:tcPr>
          <w:p>
            <w:pPr>
              <w:suppressAutoHyphens w:val="true"/>
            </w:pPr>
            <w:r>
              <w:rPr>
                <w:b/>
                <w:sz w:val="18"/>
              </w:rPr>
              <w:t>Meaning</w:t>
            </w:r>
          </w:p>
        </w:tc>
      </w:tr>
      <w:tr>
        <w:tc>
          <w:tcPr>
            <w:tcW w:type="dxa" w:w="1800"/>
            <w:vAlign w:val="center"/>
            <w:tcMar>
              <w:top w:w="80" w:type="dxa"/>
              <w:start w:w="120" w:type="dxa"/>
              <w:bottom w:w="80" w:type="dxa"/>
              <w:end w:w="120" w:type="dxa"/>
            </w:tcMar>
          </w:tcPr>
          <w:p>
            <w:pPr>
              <w:suppressAutoHyphens w:val="true"/>
            </w:pPr>
            <w:r>
              <w:rPr>
                <w:sz w:val="18"/>
              </w:rPr>
              <w:t>ABM</w:t>
            </w:r>
          </w:p>
        </w:tc>
        <w:tc>
          <w:tcPr>
            <w:tcW w:type="dxa" w:w="7560"/>
            <w:vAlign w:val="center"/>
            <w:tcMar>
              <w:top w:w="80" w:type="dxa"/>
              <w:start w:w="120" w:type="dxa"/>
              <w:bottom w:w="80" w:type="dxa"/>
              <w:end w:w="120" w:type="dxa"/>
            </w:tcMar>
          </w:tcPr>
          <w:p>
            <w:pPr>
              <w:suppressAutoHyphens w:val="true"/>
            </w:pPr>
            <w:r>
              <w:rPr>
                <w:sz w:val="18"/>
              </w:rPr>
              <w:t>Arithmetic Brownian motion.</w:t>
            </w:r>
          </w:p>
        </w:tc>
      </w:tr>
      <w:tr>
        <w:tc>
          <w:tcPr>
            <w:tcW w:type="dxa" w:w="1800"/>
            <w:vAlign w:val="center"/>
            <w:tcMar>
              <w:top w:w="80" w:type="dxa"/>
              <w:start w:w="120" w:type="dxa"/>
              <w:bottom w:w="80" w:type="dxa"/>
              <w:end w:w="120" w:type="dxa"/>
            </w:tcMar>
          </w:tcPr>
          <w:p>
            <w:pPr>
              <w:suppressAutoHyphens w:val="true"/>
            </w:pPr>
            <w:r>
              <w:rPr>
                <w:sz w:val="18"/>
              </w:rPr>
              <w:t>AS</w:t>
            </w:r>
          </w:p>
        </w:tc>
        <w:tc>
          <w:tcPr>
            <w:tcW w:type="dxa" w:w="7560"/>
            <w:vAlign w:val="center"/>
            <w:tcMar>
              <w:top w:w="80" w:type="dxa"/>
              <w:start w:w="120" w:type="dxa"/>
              <w:bottom w:w="80" w:type="dxa"/>
              <w:end w:w="120" w:type="dxa"/>
            </w:tcMar>
          </w:tcPr>
          <w:p>
            <w:pPr>
              <w:suppressAutoHyphens w:val="true"/>
            </w:pPr>
            <w:r>
              <w:rPr>
                <w:sz w:val="18"/>
              </w:rPr>
              <w:t>Avellaneda-Stoikov baseline.</w:t>
            </w:r>
          </w:p>
        </w:tc>
      </w:tr>
      <w:tr>
        <w:tc>
          <w:tcPr>
            <w:tcW w:type="dxa" w:w="1800"/>
            <w:vAlign w:val="center"/>
            <w:tcMar>
              <w:top w:w="80" w:type="dxa"/>
              <w:start w:w="120" w:type="dxa"/>
              <w:bottom w:w="80" w:type="dxa"/>
              <w:end w:w="120" w:type="dxa"/>
            </w:tcMar>
          </w:tcPr>
          <w:p>
            <w:pPr>
              <w:suppressAutoHyphens w:val="true"/>
            </w:pPr>
            <w:r>
              <w:rPr>
                <w:sz w:val="18"/>
              </w:rPr>
              <w:t>HFMM</w:t>
            </w:r>
          </w:p>
        </w:tc>
        <w:tc>
          <w:tcPr>
            <w:tcW w:type="dxa" w:w="7560"/>
            <w:vAlign w:val="center"/>
            <w:tcMar>
              <w:top w:w="80" w:type="dxa"/>
              <w:start w:w="120" w:type="dxa"/>
              <w:bottom w:w="80" w:type="dxa"/>
              <w:end w:w="120" w:type="dxa"/>
            </w:tcMar>
          </w:tcPr>
          <w:p>
            <w:pPr>
              <w:suppressAutoHyphens w:val="true"/>
            </w:pPr>
            <w:r>
              <w:rPr>
                <w:sz w:val="18"/>
              </w:rPr>
              <w:t>High-frequency market making.</w:t>
            </w:r>
          </w:p>
        </w:tc>
      </w:tr>
      <w:tr>
        <w:tc>
          <w:tcPr>
            <w:tcW w:type="dxa" w:w="1800"/>
            <w:vAlign w:val="center"/>
            <w:tcMar>
              <w:top w:w="80" w:type="dxa"/>
              <w:start w:w="120" w:type="dxa"/>
              <w:bottom w:w="80" w:type="dxa"/>
              <w:end w:w="120" w:type="dxa"/>
            </w:tcMar>
          </w:tcPr>
          <w:p>
            <w:pPr>
              <w:suppressAutoHyphens w:val="true"/>
            </w:pPr>
            <w:r>
              <w:rPr>
                <w:sz w:val="18"/>
              </w:rPr>
              <w:t>OOS</w:t>
            </w:r>
          </w:p>
        </w:tc>
        <w:tc>
          <w:tcPr>
            <w:tcW w:type="dxa" w:w="7560"/>
            <w:vAlign w:val="center"/>
            <w:tcMar>
              <w:top w:w="80" w:type="dxa"/>
              <w:start w:w="120" w:type="dxa"/>
              <w:bottom w:w="80" w:type="dxa"/>
              <w:end w:w="120" w:type="dxa"/>
            </w:tcMar>
          </w:tcPr>
          <w:p>
            <w:pPr>
              <w:suppressAutoHyphens w:val="true"/>
            </w:pPr>
            <w:r>
              <w:rPr>
                <w:sz w:val="18"/>
              </w:rPr>
              <w:t>Out-of-sample evaluation.</w:t>
            </w:r>
          </w:p>
        </w:tc>
      </w:tr>
      <w:tr>
        <w:tc>
          <w:tcPr>
            <w:tcW w:type="dxa" w:w="1800"/>
            <w:vAlign w:val="center"/>
            <w:tcMar>
              <w:top w:w="80" w:type="dxa"/>
              <w:start w:w="120" w:type="dxa"/>
              <w:bottom w:w="80" w:type="dxa"/>
              <w:end w:w="120" w:type="dxa"/>
            </w:tcMar>
          </w:tcPr>
          <w:p>
            <w:pPr>
              <w:suppressAutoHyphens w:val="true"/>
            </w:pPr>
            <w:r>
              <w:rPr>
                <w:sz w:val="18"/>
              </w:rPr>
              <w:t>PPO</w:t>
            </w:r>
          </w:p>
        </w:tc>
        <w:tc>
          <w:tcPr>
            <w:tcW w:type="dxa" w:w="7560"/>
            <w:vAlign w:val="center"/>
            <w:tcMar>
              <w:top w:w="80" w:type="dxa"/>
              <w:start w:w="120" w:type="dxa"/>
              <w:bottom w:w="80" w:type="dxa"/>
              <w:end w:w="120" w:type="dxa"/>
            </w:tcMar>
          </w:tcPr>
          <w:p>
            <w:pPr>
              <w:suppressAutoHyphens w:val="true"/>
            </w:pPr>
            <w:r>
              <w:rPr>
                <w:sz w:val="18"/>
              </w:rPr>
              <w:t>Proximal Policy Optimization.</w:t>
            </w:r>
          </w:p>
        </w:tc>
      </w:tr>
      <w:tr>
        <w:tc>
          <w:tcPr>
            <w:tcW w:type="dxa" w:w="1800"/>
            <w:vAlign w:val="center"/>
            <w:tcMar>
              <w:top w:w="80" w:type="dxa"/>
              <w:start w:w="120" w:type="dxa"/>
              <w:bottom w:w="80" w:type="dxa"/>
              <w:end w:w="120" w:type="dxa"/>
            </w:tcMar>
          </w:tcPr>
          <w:p>
            <w:pPr>
              <w:suppressAutoHyphens w:val="true"/>
            </w:pPr>
            <w:r>
              <w:rPr>
                <w:sz w:val="18"/>
              </w:rPr>
              <w:t>RV</w:t>
            </w:r>
          </w:p>
        </w:tc>
        <w:tc>
          <w:tcPr>
            <w:tcW w:type="dxa" w:w="7560"/>
            <w:vAlign w:val="center"/>
            <w:tcMar>
              <w:top w:w="80" w:type="dxa"/>
              <w:start w:w="120" w:type="dxa"/>
              <w:bottom w:w="80" w:type="dxa"/>
              <w:end w:w="120" w:type="dxa"/>
            </w:tcMar>
          </w:tcPr>
          <w:p>
            <w:pPr>
              <w:suppressAutoHyphens w:val="true"/>
            </w:pPr>
            <w:r>
              <w:rPr>
                <w:sz w:val="18"/>
              </w:rPr>
              <w:t>Realized volatility.</w:t>
            </w:r>
          </w:p>
        </w:tc>
      </w:tr>
      <w:tr>
        <w:tc>
          <w:tcPr>
            <w:tcW w:type="dxa" w:w="1800"/>
            <w:vAlign w:val="center"/>
            <w:tcMar>
              <w:top w:w="80" w:type="dxa"/>
              <w:start w:w="120" w:type="dxa"/>
              <w:bottom w:w="80" w:type="dxa"/>
              <w:end w:w="120" w:type="dxa"/>
            </w:tcMar>
          </w:tcPr>
          <w:p>
            <w:pPr>
              <w:suppressAutoHyphens w:val="true"/>
            </w:pPr>
            <w:r>
              <w:rPr>
                <w:sz w:val="18"/>
              </w:rPr>
              <w:t>TOST</w:t>
            </w:r>
          </w:p>
        </w:tc>
        <w:tc>
          <w:tcPr>
            <w:tcW w:type="dxa" w:w="7560"/>
            <w:vAlign w:val="center"/>
            <w:tcMar>
              <w:top w:w="80" w:type="dxa"/>
              <w:start w:w="120" w:type="dxa"/>
              <w:bottom w:w="80" w:type="dxa"/>
              <w:end w:w="120" w:type="dxa"/>
            </w:tcMar>
          </w:tcPr>
          <w:p>
            <w:pPr>
              <w:suppressAutoHyphens w:val="true"/>
            </w:pPr>
            <w:r>
              <w:rPr>
                <w:sz w:val="18"/>
              </w:rPr>
              <w:t>Two One-Sided Tests equivalence procedure.</w:t>
            </w:r>
          </w:p>
        </w:tc>
      </w:tr>
      <w:tr>
        <w:tc>
          <w:tcPr>
            <w:tcW w:type="dxa" w:w="1800"/>
            <w:vAlign w:val="center"/>
            <w:tcMar>
              <w:top w:w="80" w:type="dxa"/>
              <w:start w:w="120" w:type="dxa"/>
              <w:bottom w:w="80" w:type="dxa"/>
              <w:end w:w="120" w:type="dxa"/>
            </w:tcMar>
          </w:tcPr>
          <w:p>
            <w:pPr>
              <w:suppressAutoHyphens w:val="true"/>
            </w:pPr>
            <w:r>
              <w:rPr>
                <w:sz w:val="18"/>
              </w:rPr>
              <w:t>WP</w:t>
            </w:r>
          </w:p>
        </w:tc>
        <w:tc>
          <w:tcPr>
            <w:tcW w:type="dxa" w:w="7560"/>
            <w:vAlign w:val="center"/>
            <w:tcMar>
              <w:top w:w="80" w:type="dxa"/>
              <w:start w:w="120" w:type="dxa"/>
              <w:bottom w:w="80" w:type="dxa"/>
              <w:end w:w="120" w:type="dxa"/>
            </w:tcMar>
          </w:tcPr>
          <w:p>
            <w:pPr>
              <w:suppressAutoHyphens w:val="true"/>
            </w:pPr>
            <w:r>
              <w:rPr>
                <w:sz w:val="18"/>
              </w:rPr>
              <w:t>Work package.</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pPr>
              <w:suppressAutoHyphens w:val="true"/>
            </w:pPr>
            <w:r>
              <w:rPr>
                <w:b/>
                <w:sz w:val="18"/>
              </w:rPr>
              <w:t>Term</w:t>
            </w:r>
          </w:p>
        </w:tc>
        <w:tc>
          <w:tcPr>
            <w:tcW w:type="dxa" w:w="7160"/>
            <w:shd w:fill="F2F4F7"/>
            <w:vAlign w:val="center"/>
            <w:tcMar>
              <w:top w:w="80" w:type="dxa"/>
              <w:start w:w="120" w:type="dxa"/>
              <w:bottom w:w="80" w:type="dxa"/>
              <w:end w:w="120" w:type="dxa"/>
            </w:tcMar>
          </w:tcPr>
          <w:p>
            <w:pPr>
              <w:suppressAutoHyphens w:val="true"/>
            </w:pPr>
            <w:r>
              <w:rPr>
                <w:b/>
                <w:sz w:val="18"/>
              </w:rPr>
              <w:t>Definition</w:t>
            </w:r>
          </w:p>
        </w:tc>
      </w:tr>
      <w:tr>
        <w:tc>
          <w:tcPr>
            <w:tcW w:type="dxa" w:w="2200"/>
            <w:vAlign w:val="center"/>
            <w:tcMar>
              <w:top w:w="80" w:type="dxa"/>
              <w:start w:w="120" w:type="dxa"/>
              <w:bottom w:w="80" w:type="dxa"/>
              <w:end w:w="120" w:type="dxa"/>
            </w:tcMar>
          </w:tcPr>
          <w:p>
            <w:pPr>
              <w:suppressAutoHyphens w:val="true"/>
            </w:pPr>
            <w:r>
              <w:rPr>
                <w:sz w:val="18"/>
              </w:rPr>
              <w:t>Regime-aware PPO</w:t>
            </w:r>
          </w:p>
        </w:tc>
        <w:tc>
          <w:tcPr>
            <w:tcW w:type="dxa" w:w="7160"/>
            <w:vAlign w:val="center"/>
            <w:tcMar>
              <w:top w:w="80" w:type="dxa"/>
              <w:start w:w="120" w:type="dxa"/>
              <w:bottom w:w="80" w:type="dxa"/>
              <w:end w:w="120" w:type="dxa"/>
            </w:tcMar>
          </w:tcPr>
          <w:p>
            <w:pPr>
              <w:suppressAutoHyphens w:val="true"/>
            </w:pPr>
            <w:r>
              <w:rPr>
                <w:sz w:val="18"/>
              </w:rPr>
              <w:t>PPO policy variant that receives a categorical regime one-hot channel.</w:t>
            </w:r>
          </w:p>
        </w:tc>
      </w:tr>
      <w:tr>
        <w:tc>
          <w:tcPr>
            <w:tcW w:type="dxa" w:w="2200"/>
            <w:vAlign w:val="center"/>
            <w:tcMar>
              <w:top w:w="80" w:type="dxa"/>
              <w:start w:w="120" w:type="dxa"/>
              <w:bottom w:w="80" w:type="dxa"/>
              <w:end w:w="120" w:type="dxa"/>
            </w:tcMar>
          </w:tcPr>
          <w:p>
            <w:pPr>
              <w:suppressAutoHyphens w:val="true"/>
            </w:pPr>
            <w:r>
              <w:rPr>
                <w:sz w:val="18"/>
              </w:rPr>
              <w:t>Regime-blind PPO</w:t>
            </w:r>
          </w:p>
        </w:tc>
        <w:tc>
          <w:tcPr>
            <w:tcW w:type="dxa" w:w="7160"/>
            <w:vAlign w:val="center"/>
            <w:tcMar>
              <w:top w:w="80" w:type="dxa"/>
              <w:start w:w="120" w:type="dxa"/>
              <w:bottom w:w="80" w:type="dxa"/>
              <w:end w:w="120" w:type="dxa"/>
            </w:tcMar>
          </w:tcPr>
          <w:p>
            <w:pPr>
              <w:suppressAutoHyphens w:val="true"/>
            </w:pPr>
            <w:r>
              <w:rPr>
                <w:sz w:val="18"/>
              </w:rPr>
              <w:t>PPO policy variant that omits the regime one-hot but still observes sigma_hat.</w:t>
            </w:r>
          </w:p>
        </w:tc>
      </w:tr>
      <w:tr>
        <w:tc>
          <w:tcPr>
            <w:tcW w:type="dxa" w:w="2200"/>
            <w:vAlign w:val="center"/>
            <w:tcMar>
              <w:top w:w="80" w:type="dxa"/>
              <w:start w:w="120" w:type="dxa"/>
              <w:bottom w:w="80" w:type="dxa"/>
              <w:end w:w="120" w:type="dxa"/>
            </w:tcMar>
          </w:tcPr>
          <w:p>
            <w:pPr>
              <w:suppressAutoHyphens w:val="true"/>
            </w:pPr>
            <w:r>
              <w:rPr>
                <w:sz w:val="18"/>
              </w:rPr>
              <w:t>sigma_only</w:t>
            </w:r>
          </w:p>
        </w:tc>
        <w:tc>
          <w:tcPr>
            <w:tcW w:type="dxa" w:w="7160"/>
            <w:vAlign w:val="center"/>
            <w:tcMar>
              <w:top w:w="80" w:type="dxa"/>
              <w:start w:w="120" w:type="dxa"/>
              <w:bottom w:w="80" w:type="dxa"/>
              <w:end w:w="120" w:type="dxa"/>
            </w:tcMar>
          </w:tcPr>
          <w:p>
            <w:pPr>
              <w:suppressAutoHyphens w:val="true"/>
            </w:pPr>
            <w:r>
              <w:rPr>
                <w:sz w:val="18"/>
              </w:rPr>
              <w:t>Ablation variant using the continuous volatility signal without categorical regime labels.</w:t>
            </w:r>
          </w:p>
        </w:tc>
      </w:tr>
      <w:tr>
        <w:tc>
          <w:tcPr>
            <w:tcW w:type="dxa" w:w="2200"/>
            <w:vAlign w:val="center"/>
            <w:tcMar>
              <w:top w:w="80" w:type="dxa"/>
              <w:start w:w="120" w:type="dxa"/>
              <w:bottom w:w="80" w:type="dxa"/>
              <w:end w:w="120" w:type="dxa"/>
            </w:tcMar>
          </w:tcPr>
          <w:p>
            <w:pPr>
              <w:suppressAutoHyphens w:val="true"/>
            </w:pPr>
            <w:r>
              <w:rPr>
                <w:sz w:val="18"/>
              </w:rPr>
              <w:t>combined</w:t>
            </w:r>
          </w:p>
        </w:tc>
        <w:tc>
          <w:tcPr>
            <w:tcW w:type="dxa" w:w="7160"/>
            <w:vAlign w:val="center"/>
            <w:tcMar>
              <w:top w:w="80" w:type="dxa"/>
              <w:start w:w="120" w:type="dxa"/>
              <w:bottom w:w="80" w:type="dxa"/>
              <w:end w:w="120" w:type="dxa"/>
            </w:tcMar>
          </w:tcPr>
          <w:p>
            <w:pPr>
              <w:suppressAutoHyphens w:val="true"/>
            </w:pPr>
            <w:r>
              <w:rPr>
                <w:sz w:val="18"/>
              </w:rPr>
              <w:t>Ablation variant using sigma_hat and estimated categorical regime labels.</w:t>
            </w:r>
          </w:p>
        </w:tc>
      </w:tr>
      <w:tr>
        <w:tc>
          <w:tcPr>
            <w:tcW w:type="dxa" w:w="2200"/>
            <w:vAlign w:val="center"/>
            <w:tcMar>
              <w:top w:w="80" w:type="dxa"/>
              <w:start w:w="120" w:type="dxa"/>
              <w:bottom w:w="80" w:type="dxa"/>
              <w:end w:w="120" w:type="dxa"/>
            </w:tcMar>
          </w:tcPr>
          <w:p>
            <w:pPr>
              <w:suppressAutoHyphens w:val="true"/>
            </w:pPr>
            <w:r>
              <w:rPr>
                <w:sz w:val="18"/>
              </w:rPr>
              <w:t>oracle_full</w:t>
            </w:r>
          </w:p>
        </w:tc>
        <w:tc>
          <w:tcPr>
            <w:tcW w:type="dxa" w:w="7160"/>
            <w:vAlign w:val="center"/>
            <w:tcMar>
              <w:top w:w="80" w:type="dxa"/>
              <w:start w:w="120" w:type="dxa"/>
              <w:bottom w:w="80" w:type="dxa"/>
              <w:end w:w="120" w:type="dxa"/>
            </w:tcMar>
          </w:tcPr>
          <w:p>
            <w:pPr>
              <w:suppressAutoHyphens w:val="true"/>
            </w:pPr>
            <w:r>
              <w:rPr>
                <w:sz w:val="18"/>
              </w:rPr>
              <w:t>Ablation variant using sigma_hat and the true regime label.</w:t>
            </w:r>
          </w:p>
        </w:tc>
      </w:tr>
    </w:tbl>
    <w:p>
      <w:pPr>
        <w:suppressAutoHyphens w:val="true"/>
      </w:pPr>
    </w:p>
    <w:p>
      <w:pPr>
        <w:suppressAutoHyphens w:val="true"/>
      </w:pPr>
    </w:p>
    <w:p>
      <w:pPr>
        <w:pStyle w:val="Heading1"/>
        <w:suppressAutoHyphens w:val="true"/>
      </w:pPr>
      <w:r>
        <w:t>1 Introduction</w:t>
      </w:r>
    </w:p>
    <w:p>
      <w:pPr>
        <w:pStyle w:val="Heading2"/>
        <w:suppressAutoHyphens w:val="true"/>
      </w:pPr>
      <w:r>
        <w:t>1.1 Problem Statement and Motivation</w:t>
      </w:r>
    </w:p>
    <w:p>
      <w:pPr>
        <w:suppressAutoHyphens w:val="true"/>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pPr>
        <w:pStyle w:val="Heading2"/>
        <w:suppressAutoHyphens w:val="true"/>
      </w:pPr>
      <w:r>
        <w:t>1.2 Research Objective</w:t>
      </w:r>
    </w:p>
    <w:p>
      <w:pPr>
        <w:suppressAutoHyphens w:val="true"/>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pPr>
        <w:pStyle w:val="Heading2"/>
        <w:suppressAutoHyphens w:val="true"/>
      </w:pPr>
      <w:r>
        <w:t>1.3 Background and Related Work</w:t>
      </w:r>
    </w:p>
    <w:p>
      <w:pPr>
        <w:suppressAutoHyphens w:val="true"/>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pPr>
        <w:suppressAutoHyphens w:val="true"/>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pPr>
        <w:suppressAutoHyphens w:val="true"/>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pPr>
        <w:suppressAutoHyphens w:val="true"/>
      </w:pPr>
      <w:r>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pPr>
        <w:suppressAutoHyphens w:val="true"/>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pPr>
        <w:suppressAutoHyphens w:val="true"/>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pPr>
        <w:suppressAutoHyphens w:val="true"/>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pPr>
        <w:suppressAutoHyphens w:val="true"/>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pPr>
        <w:pStyle w:val="Heading2"/>
        <w:suppressAutoHyphens w:val="true"/>
      </w:pPr>
      <w:r>
        <w:t>1.4 Contributions</w:t>
      </w:r>
    </w:p>
    <w:p>
      <w:pPr>
        <w:pStyle w:val="ListNumber"/>
        <w:suppressAutoHyphens w:val="true"/>
      </w:pPr>
      <w:r>
        <w:t>A controlled HFMM simulator with Poisson-arrival fills, fees, latency, and Markov volatility regimes.</w:t>
      </w:r>
    </w:p>
    <w:p>
      <w:pPr>
        <w:pStyle w:val="ListNumber"/>
        <w:suppressAutoHyphens w:val="true"/>
      </w:pPr>
      <w:r>
        <w:t>A Gymnasium environment in which PPO controls quote half-spread and skew.</w:t>
      </w:r>
    </w:p>
    <w:p>
      <w:pPr>
        <w:pStyle w:val="ListNumber"/>
        <w:suppressAutoHyphens w:val="true"/>
      </w:pPr>
      <w:r>
        <w:t>An OOS comparison of fixed-spread, Avellaneda-Stoikov, regime-aware PPO, and regime-blind PPO strategies.</w:t>
      </w:r>
    </w:p>
    <w:p>
      <w:pPr>
        <w:pStyle w:val="ListNumber"/>
        <w:suppressAutoHyphens w:val="true"/>
      </w:pPr>
      <w:r>
        <w:t>A five-variant ablation separating continuous volatility information from estimated and oracle regime labels.</w:t>
      </w:r>
    </w:p>
    <w:p>
      <w:pPr>
        <w:pStyle w:val="ListNumber"/>
        <w:suppressAutoHyphens w:val="true"/>
      </w:pPr>
      <w:r>
        <w:t>Detector, reward-shaping, misspecification, and signal-informativeness checks that bound the interpretation.</w:t>
      </w:r>
    </w:p>
    <w:p>
      <w:pPr>
        <w:pStyle w:val="Heading2"/>
        <w:suppressAutoHyphens w:val="true"/>
      </w:pPr>
      <w:r>
        <w:t>1.5 Scope and Limitations</w:t>
      </w:r>
    </w:p>
    <w:p>
      <w:pPr>
        <w:suppressAutoHyphens w:val="true"/>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pPr>
        <w:pStyle w:val="Heading2"/>
        <w:suppressAutoHyphens w:val="true"/>
      </w:pPr>
      <w:r>
        <w:t>1.6 Report Structure</w:t>
      </w:r>
    </w:p>
    <w:p>
      <w:pPr>
        <w:suppressAutoHyphens w:val="true"/>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pPr>
        <w:pStyle w:val="Heading1"/>
        <w:suppressAutoHyphens w:val="true"/>
      </w:pPr>
      <w:r>
        <w:t>2 Mathematical Formulation</w:t>
      </w:r>
    </w:p>
    <w:p>
      <w:pPr>
        <w:pStyle w:val="Heading2"/>
        <w:suppressAutoHyphens w:val="true"/>
      </w:pPr>
      <w:r>
        <w:t>2.1 Synthetic Mid-Price Process</w:t>
      </w:r>
    </w:p>
    <w:p>
      <w:pPr>
        <w:jc w:val="center"/>
        <w:suppressAutoHyphens w:val="true"/>
      </w:pPr>
      <w:r>
        <w:rPr>
          <w:rFonts w:ascii="Cambria Math" w:hAnsi="Cambria Math" w:eastAsia="Cambria Math"/>
          <w:b/>
          <w:sz w:val="22"/>
        </w:rPr>
        <w:t>(1)  S_{t+1} = S_t + sigma_t sqrt(dt) epsilon_t,   epsilon_t ~ N(0, 1)</w:t>
      </w:r>
    </w:p>
    <w:p>
      <w:pPr>
        <w:suppressAutoHyphens w:val="true"/>
      </w:pPr>
      <w:r>
        <w:t>Here S_t is the mid-price, sigma_t is the step volatility in ticks or price units according to the simulator configuration, dt is the time step, and epsilon_t is an independent standard-normal shock.</w:t>
      </w:r>
    </w:p>
    <w:p>
      <w:pPr>
        <w:pStyle w:val="Heading2"/>
        <w:suppressAutoHyphens w:val="true"/>
      </w:pPr>
      <w:r>
        <w:t>2.2 Markov Volatility-Regime Process</w:t>
      </w:r>
    </w:p>
    <w:p>
      <w:pPr>
        <w:jc w:val="center"/>
        <w:suppressAutoHyphens w:val="true"/>
      </w:pPr>
      <w:r>
        <w:rPr>
          <w:rFonts w:ascii="Cambria Math" w:hAnsi="Cambria Math" w:eastAsia="Cambria Math"/>
          <w:b/>
          <w:sz w:val="22"/>
        </w:rPr>
        <w:t>(2)  P(z_{t+1}=j | z_t=i) = P_ij,   z_t in {L, M, H}</w:t>
      </w:r>
    </w:p>
    <w:p>
      <w:pPr>
        <w:suppressAutoHyphens w:val="true"/>
      </w:pPr>
      <w:r>
        <w:t>Here z_t is the latent volatility regime at step t, L/M/H denote low, medium, and high volatility, and P_ij is the sticky transition probability from regime i to regime j.</w:t>
      </w:r>
    </w:p>
    <w:p>
      <w:pPr>
        <w:suppressAutoHyphens w:val="true"/>
      </w:pPr>
      <w:r>
        <w:t>(2a)  P = [[0.9967, 0.0023, 0.0010], [0.0042, 0.9917, 0.0041], [0.0010, 0.0030, 0.9960]]</w:t>
      </w:r>
    </w:p>
    <w:p>
      <w:pPr>
        <w:suppressAutoHyphens w:val="true"/>
      </w:pPr>
      <w:r>
        <w:t>Rows correspond to the current regime L/M/H, and columns correspond to the next regime L/M/H. The large diagonal probabilities make the regimes persistent, or sticky, so volatility states tend to last for many steps rather than switching erratically.</w:t>
      </w:r>
    </w:p>
    <w:p>
      <w:pPr>
        <w:suppressAutoHyphens w:val="true"/>
      </w:pPr>
      <w:r>
        <w:t>This persistence matters because rolling realized-volatility detection is only meaningful when regime-dependent volatility differences last long enough to be observed through a finite window.</w:t>
      </w:r>
    </w:p>
    <w:p>
      <w:pPr>
        <w:suppressAutoHyphens w:val="true"/>
      </w:pPr>
      <w:r>
        <w:t>The regime controls the volatility multiplier applied to the base sigma parameter. The canonical full experiments use sigma multipliers [0.6, 1.0, 1.8] for L, M, and H.</w:t>
      </w:r>
    </w:p>
    <w:p>
      <w:pPr>
        <w:pStyle w:val="Heading2"/>
        <w:suppressAutoHyphens w:val="true"/>
      </w:pPr>
      <w:r>
        <w:t>2.3 Realized Volatility Signal and Regime Detection</w:t>
      </w:r>
    </w:p>
    <w:p>
      <w:pPr>
        <w:jc w:val="center"/>
        <w:suppressAutoHyphens w:val="true"/>
      </w:pPr>
      <w:r>
        <w:rPr>
          <w:rFonts w:ascii="Cambria Math" w:hAnsi="Cambria Math" w:eastAsia="Cambria Math"/>
          <w:b/>
          <w:sz w:val="22"/>
        </w:rPr>
        <w:t>(3)  sigma_hat_t = sqrt((1 / w) sum_{i=t-w+1}^{t} (Delta S_i)^2)</w:t>
      </w:r>
    </w:p>
    <w:p>
      <w:pPr>
        <w:suppressAutoHyphens w:val="true"/>
      </w:pPr>
      <w:r>
        <w:t>Here sigma_hat_t is the rolling realized-volatility signal, w is the rolling window length, and Delta S_i is the mid-price increment over step i.</w:t>
      </w:r>
    </w:p>
    <w:p>
      <w:pPr>
        <w:suppressAutoHyphens w:val="true"/>
      </w:pPr>
      <w:r>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pPr>
        <w:pStyle w:val="Heading3"/>
        <w:keepNext/>
        <w:suppressAutoHyphens w:val="true"/>
      </w:pPr>
      <w:r>
        <w:t>2.3.1 Illustrative Synthetic Environment Path</w:t>
      </w:r>
    </w:p>
    <w:p>
      <w:pPr>
        <w:keepNext/>
        <w:suppressAutoHyphens w:val="true"/>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pPr>
        <w:keepNext/>
        <w:keepLines/>
        <w:jc w:val="center"/>
        <w:suppressAutoHyphens w:val="true"/>
      </w:pPr>
      <w:r>
        <w:drawing>
          <wp:inline xmlns:a="http://schemas.openxmlformats.org/drawingml/2006/main" xmlns:pic="http://schemas.openxmlformats.org/drawingml/2006/picture">
            <wp:extent cx="5623560" cy="3834245"/>
            <wp:docPr id="13" name="Picture 13"/>
            <wp:cNvGraphicFramePr>
              <a:graphicFrameLocks noChangeAspect="1"/>
            </wp:cNvGraphicFramePr>
            <a:graphic>
              <a:graphicData uri="http://schemas.openxmlformats.org/drawingml/2006/picture">
                <pic:pic>
                  <pic:nvPicPr>
                    <pic:cNvPr id="0" name="fig_synthetic_environment.png"/>
                    <pic:cNvPicPr/>
                  </pic:nvPicPr>
                  <pic:blipFill>
                    <a:blip r:embed="rId23"/>
                    <a:stretch>
                      <a:fillRect/>
                    </a:stretch>
                  </pic:blipFill>
                  <pic:spPr>
                    <a:xfrm>
                      <a:off x="0" y="0"/>
                      <a:ext cx="5623560" cy="3834245"/>
                    </a:xfrm>
                    <a:prstGeom prst="rect"/>
                  </pic:spPr>
                </pic:pic>
              </a:graphicData>
            </a:graphic>
          </wp:inline>
        </w:drawing>
      </w:r>
    </w:p>
    <w:p>
      <w:pPr>
        <w:pStyle w:val="Caption"/>
        <w:keepLines/>
        <w:jc w:val="center"/>
        <w:suppressAutoHyphens w:val="true"/>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pPr>
        <w:pStyle w:val="Heading2"/>
        <w:suppressAutoHyphens w:val="true"/>
      </w:pPr>
      <w:r>
        <w:t>2.4 Limit-Order Fill Model</w:t>
      </w:r>
    </w:p>
    <w:p>
      <w:pPr>
        <w:jc w:val="center"/>
        <w:suppressAutoHyphens w:val="true"/>
      </w:pPr>
      <w:r>
        <w:rPr>
          <w:rFonts w:ascii="Cambria Math" w:hAnsi="Cambria Math" w:eastAsia="Cambria Math"/>
          <w:b/>
          <w:sz w:val="22"/>
        </w:rPr>
        <w:t>(4)  lambda(delta) = A exp(-k delta)</w:t>
      </w:r>
    </w:p>
    <w:p>
      <w:pPr>
        <w:suppressAutoHyphens w:val="true"/>
      </w:pPr>
      <w:r>
        <w:t>Here lambda(delta) is the fill intensity at quote distance delta, A is the baseline arrival scale, and k controls the exponential decay as quotes move farther from the mid-price.</w:t>
      </w:r>
    </w:p>
    <w:p>
      <w:pPr>
        <w:suppressAutoHyphens w:val="true"/>
      </w:pPr>
      <w:r>
        <w:t>Intuitively, quotes closer to the mid-price fill more often because they are more attractive to incoming market orders. Quotes farther away earn more spread if they fill, but the exponential intensity makes those fills less likely.</w:t>
      </w:r>
    </w:p>
    <w:p>
      <w:pPr>
        <w:jc w:val="center"/>
        <w:suppressAutoHyphens w:val="true"/>
      </w:pPr>
      <w:r>
        <w:rPr>
          <w:rFonts w:ascii="Cambria Math" w:hAnsi="Cambria Math" w:eastAsia="Cambria Math"/>
          <w:b/>
          <w:sz w:val="22"/>
        </w:rPr>
        <w:t>(5)  P(fill | delta) = 1 - exp(-lambda(delta) dt)</w:t>
      </w:r>
    </w:p>
    <w:p>
      <w:pPr>
        <w:suppressAutoHyphens w:val="true"/>
      </w:pPr>
      <w:r>
        <w:t>Here P(fill | delta) is the per-step fill probability and dt is the simulator step length.</w:t>
      </w:r>
    </w:p>
    <w:p>
      <w:pPr>
        <w:pStyle w:val="Heading2"/>
        <w:suppressAutoHyphens w:val="true"/>
      </w:pPr>
      <w:r>
        <w:t>2.5 Quote Parameterization</w:t>
      </w:r>
    </w:p>
    <w:p>
      <w:pPr>
        <w:jc w:val="center"/>
        <w:suppressAutoHyphens w:val="true"/>
      </w:pPr>
      <w:r>
        <w:rPr>
          <w:rFonts w:ascii="Cambria Math" w:hAnsi="Cambria Math" w:eastAsia="Cambria Math"/>
          <w:b/>
          <w:sz w:val="22"/>
        </w:rPr>
        <w:t>(6)  h = h_idx + 1,   m = m_idx - 2</w:t>
      </w:r>
    </w:p>
    <w:p>
      <w:pPr>
        <w:suppressAutoHyphens w:val="true"/>
      </w:pPr>
      <w:r>
        <w:t>Here h_idx and m_idx are the two discrete PPO action components, h is the half-spread in ticks, and m is the quote skew in ticks.</w:t>
      </w:r>
    </w:p>
    <w:p>
      <w:pPr>
        <w:suppressAutoHyphens w:val="true"/>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pPr>
        <w:jc w:val="center"/>
        <w:suppressAutoHyphens w:val="true"/>
      </w:pPr>
      <w:r>
        <w:rPr>
          <w:rFonts w:ascii="Cambria Math" w:hAnsi="Cambria Math" w:eastAsia="Cambria Math"/>
          <w:b/>
          <w:sz w:val="22"/>
        </w:rPr>
        <w:t>(7)  delta_bid = max(1, h + m),   delta_ask = max(1, h - m)</w:t>
      </w:r>
    </w:p>
    <w:p>
      <w:pPr>
        <w:suppressAutoHyphens w:val="true"/>
      </w:pPr>
      <w:r>
        <w:t>Here delta_bid and delta_ask are the bid and ask quote distances in ticks. The max operator enforces a minimum quote distance of one tick.</w:t>
      </w:r>
    </w:p>
    <w:p>
      <w:pPr>
        <w:pStyle w:val="Heading2"/>
        <w:suppressAutoHyphens w:val="true"/>
      </w:pPr>
      <w:r>
        <w:t>2.6 Inventory, Cash, Equity, and Reward</w:t>
      </w:r>
    </w:p>
    <w:p>
      <w:pPr>
        <w:jc w:val="center"/>
        <w:suppressAutoHyphens w:val="true"/>
      </w:pPr>
      <w:r>
        <w:rPr>
          <w:rFonts w:ascii="Cambria Math" w:hAnsi="Cambria Math" w:eastAsia="Cambria Math"/>
          <w:b/>
          <w:sz w:val="22"/>
        </w:rPr>
        <w:t>(8)  q_{t+1} = q_t + F_t^{bid} - F_t^{ask}</w:t>
      </w:r>
    </w:p>
    <w:p>
      <w:pPr>
        <w:suppressAutoHyphens w:val="true"/>
      </w:pPr>
      <w:r>
        <w:t>Here q_t is inventory, F_t^{bid} is the bid-side fill indicator or count, and F_t^{ask} is the ask-side fill indicator or count.</w:t>
      </w:r>
    </w:p>
    <w:p>
      <w:pPr>
        <w:jc w:val="center"/>
        <w:suppressAutoHyphens w:val="true"/>
      </w:pPr>
      <w:r>
        <w:rPr>
          <w:rFonts w:ascii="Cambria Math" w:hAnsi="Cambria Math" w:eastAsia="Cambria Math"/>
          <w:b/>
          <w:sz w:val="22"/>
        </w:rPr>
        <w:t>(9)  X_{t+1} = X_t - F_t^{bid} P_t^{bid} + F_t^{ask} P_t^{ask} - fees_t</w:t>
      </w:r>
    </w:p>
    <w:p>
      <w:pPr>
        <w:suppressAutoHyphens w:val="true"/>
      </w:pPr>
      <w:r>
        <w:t>Here X_t is cash, P_t^{bid} and P_t^{ask} are the executed bid and ask prices, and fees_t denotes transaction costs.</w:t>
      </w:r>
    </w:p>
    <w:p>
      <w:pPr>
        <w:jc w:val="center"/>
        <w:suppressAutoHyphens w:val="true"/>
      </w:pPr>
      <w:r>
        <w:rPr>
          <w:rFonts w:ascii="Cambria Math" w:hAnsi="Cambria Math" w:eastAsia="Cambria Math"/>
          <w:b/>
          <w:sz w:val="22"/>
        </w:rPr>
        <w:t>(10)  W_t = X_t + q_t S_t</w:t>
      </w:r>
    </w:p>
    <w:p>
      <w:pPr>
        <w:suppressAutoHyphens w:val="true"/>
      </w:pPr>
      <w:r>
        <w:t>Here W_t is mark-to-market wealth or equity, X_t is cash, q_t is inventory, and S_t is the mid-price.</w:t>
      </w:r>
    </w:p>
    <w:p>
      <w:pPr>
        <w:jc w:val="center"/>
        <w:suppressAutoHyphens w:val="true"/>
      </w:pPr>
      <w:r>
        <w:rPr>
          <w:rFonts w:ascii="Cambria Math" w:hAnsi="Cambria Math" w:eastAsia="Cambria Math"/>
          <w:b/>
          <w:sz w:val="22"/>
        </w:rPr>
        <w:t>(11)  R_t = W_{t+1} - W_t - eta q_{t+1}^2</w:t>
      </w:r>
    </w:p>
    <w:p>
      <w:pPr>
        <w:suppressAutoHyphens w:val="true"/>
      </w:pPr>
      <w:r>
        <w:t>Here R_t is the reward and eta is the inventory-penalty coefficient. Fees are included in the cash update and are not counted a second time in the reward.</w:t>
      </w:r>
    </w:p>
    <w:p>
      <w:pPr>
        <w:suppressAutoHyphens w:val="true"/>
      </w:pPr>
      <w:r>
        <w:t>The eta q^2 term discourages the agent from earning apparent PnL by accumulating large directional inventory. It connects the learning objective to market-making risk control rather than pure speculation on the mid-price path.</w:t>
      </w:r>
    </w:p>
    <w:p>
      <w:pPr>
        <w:pStyle w:val="Heading2"/>
        <w:suppressAutoHyphens w:val="true"/>
      </w:pPr>
      <w:r>
        <w:t>2.7 Avellaneda-Stoikov Baseline</w:t>
      </w:r>
    </w:p>
    <w:p>
      <w:pPr>
        <w:jc w:val="center"/>
        <w:suppressAutoHyphens w:val="true"/>
      </w:pPr>
      <w:r>
        <w:rPr>
          <w:rFonts w:ascii="Cambria Math" w:hAnsi="Cambria Math" w:eastAsia="Cambria Math"/>
          <w:b/>
          <w:sz w:val="22"/>
        </w:rPr>
        <w:t>(12)  r_t = S_t - q_t gamma sigma^2 tau</w:t>
      </w:r>
    </w:p>
    <w:p>
      <w:pPr>
        <w:suppressAutoHyphens w:val="true"/>
      </w:pPr>
      <w:r>
        <w:t>Here r_t is the reservation price, gamma is inventory-risk aversion, sigma is volatility, and tau is remaining horizon.</w:t>
      </w:r>
    </w:p>
    <w:p>
      <w:pPr>
        <w:jc w:val="center"/>
        <w:suppressAutoHyphens w:val="true"/>
      </w:pPr>
      <w:r>
        <w:rPr>
          <w:rFonts w:ascii="Cambria Math" w:hAnsi="Cambria Math" w:eastAsia="Cambria Math"/>
          <w:b/>
          <w:sz w:val="22"/>
        </w:rPr>
        <w:t>(13)  delta_AS = 0.5 gamma sigma^2 tau + (1 / gamma) log(1 + gamma / k)</w:t>
      </w:r>
    </w:p>
    <w:p>
      <w:pPr>
        <w:suppressAutoHyphens w:val="true"/>
      </w:pPr>
      <w:r>
        <w:t>Here delta_AS is the AS half-spread and k is the same fill-intensity decay parameter used in the execution model. The implemented deltas are clipped to configured minimum and maximum bounds.</w:t>
      </w:r>
    </w:p>
    <w:p>
      <w:pPr>
        <w:pStyle w:val="Heading2"/>
        <w:suppressAutoHyphens w:val="true"/>
      </w:pPr>
      <w:r>
        <w:t>2.8 PPO Objective</w:t>
      </w:r>
    </w:p>
    <w:p>
      <w:pPr>
        <w:jc w:val="center"/>
        <w:suppressAutoHyphens w:val="true"/>
      </w:pPr>
      <w:r>
        <w:rPr>
          <w:rFonts w:ascii="Cambria Math" w:hAnsi="Cambria Math" w:eastAsia="Cambria Math"/>
          <w:b/>
          <w:sz w:val="22"/>
        </w:rPr>
        <w:t>(14)  rho_t(theta) = pi_theta(a_t | s_t) / pi_theta_old(a_t | s_t)</w:t>
      </w:r>
    </w:p>
    <w:p>
      <w:pPr>
        <w:suppressAutoHyphens w:val="true"/>
      </w:pPr>
      <w:r>
        <w:t>Here rho_t(theta) is the PPO probability ratio, pi_theta is the current policy, pi_theta_old is the behavior policy used to collect the rollout, a_t is the action, and s_t is the state.</w:t>
      </w:r>
    </w:p>
    <w:p>
      <w:pPr>
        <w:jc w:val="center"/>
        <w:suppressAutoHyphens w:val="true"/>
      </w:pPr>
      <w:r>
        <w:rPr>
          <w:rFonts w:ascii="Cambria Math" w:hAnsi="Cambria Math" w:eastAsia="Cambria Math"/>
          <w:b/>
          <w:sz w:val="22"/>
        </w:rPr>
        <w:t>(15)  L_CLIP(theta) = E_t[min(rho_t(theta) A_hat_t, clip(rho_t(theta), 1-eps, 1+eps) A_hat_t)]</w:t>
      </w:r>
    </w:p>
    <w:p>
      <w:pPr>
        <w:suppressAutoHyphens w:val="true"/>
      </w:pPr>
      <w:r>
        <w:t>Here theta denotes policy parameters, rho_t(theta) is the PPO probability ratio, A_hat_t is the advantage estimate, and eps is the clipping parameter. The report uses this only as a concise training-objective reference.</w:t>
      </w:r>
    </w:p>
    <w:p>
      <w:pPr>
        <w:suppressAutoHyphens w:val="true"/>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pPr>
        <w:pStyle w:val="Heading1"/>
        <w:suppressAutoHyphens w:val="true"/>
      </w:pPr>
      <w:r>
        <w:t>3 Use-Case Scenario</w:t>
      </w:r>
    </w:p>
    <w:p>
      <w:pPr>
        <w:pStyle w:val="Heading2"/>
        <w:suppressAutoHyphens w:val="true"/>
      </w:pPr>
      <w:r>
        <w:t>3.1 Synthetic HFMM Scenario</w:t>
      </w:r>
    </w:p>
    <w:p>
      <w:pPr>
        <w:suppressAutoHyphens w:val="true"/>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pPr>
        <w:pStyle w:val="Heading2"/>
        <w:suppressAutoHyphens w:val="true"/>
      </w:pPr>
      <w:r>
        <w:t>3.2 Trading Agents and Strategy Variants</w:t>
      </w:r>
    </w:p>
    <w:tbl>
      <w:tblPr>
        <w:tblStyle w:val="TableGrid"/>
        <w:tblW w:type="dxa" w:w="9360"/>
        <w:tblLook w:firstColumn="1" w:firstRow="1" w:lastColumn="0" w:lastRow="0" w:noHBand="0" w:noVBand="1" w:val="04A0"/>
        <w:tblInd w:w="120" w:type="dxa"/>
        <w:tblLayout w:type="fixed"/>
      </w:tblPr>
      <w:tblGrid>
        <w:gridCol w:w="2100"/>
        <w:gridCol w:w="3300"/>
        <w:gridCol w:w="3960"/>
      </w:tblGrid>
      <w:tr>
        <w:tc>
          <w:tcPr>
            <w:tcW w:type="dxa" w:w="2100"/>
            <w:shd w:fill="F2F4F7"/>
            <w:vAlign w:val="center"/>
            <w:tcMar>
              <w:top w:w="80" w:type="dxa"/>
              <w:start w:w="120" w:type="dxa"/>
              <w:bottom w:w="80" w:type="dxa"/>
              <w:end w:w="120" w:type="dxa"/>
            </w:tcMar>
          </w:tcPr>
          <w:p>
            <w:pPr>
              <w:suppressAutoHyphens w:val="true"/>
            </w:pPr>
            <w:r>
              <w:rPr>
                <w:b/>
                <w:sz w:val="18"/>
              </w:rPr>
              <w:t>Strategy or variant</w:t>
            </w:r>
          </w:p>
        </w:tc>
        <w:tc>
          <w:tcPr>
            <w:tcW w:type="dxa" w:w="3300"/>
            <w:shd w:fill="F2F4F7"/>
            <w:vAlign w:val="center"/>
            <w:tcMar>
              <w:top w:w="80" w:type="dxa"/>
              <w:start w:w="120" w:type="dxa"/>
              <w:bottom w:w="80" w:type="dxa"/>
              <w:end w:w="120" w:type="dxa"/>
            </w:tcMar>
          </w:tcPr>
          <w:p>
            <w:pPr>
              <w:suppressAutoHyphens w:val="true"/>
            </w:pPr>
            <w:r>
              <w:rPr>
                <w:b/>
                <w:sz w:val="18"/>
              </w:rPr>
              <w:t>Observed information</w:t>
            </w:r>
          </w:p>
        </w:tc>
        <w:tc>
          <w:tcPr>
            <w:tcW w:type="dxa" w:w="3960"/>
            <w:shd w:fill="F2F4F7"/>
            <w:vAlign w:val="center"/>
            <w:tcMar>
              <w:top w:w="80" w:type="dxa"/>
              <w:start w:w="120" w:type="dxa"/>
              <w:bottom w:w="80" w:type="dxa"/>
              <w:end w:w="120" w:type="dxa"/>
            </w:tcMar>
          </w:tcPr>
          <w:p>
            <w:pPr>
              <w:suppressAutoHyphens w:val="true"/>
            </w:pPr>
            <w:r>
              <w:rPr>
                <w:b/>
                <w:sz w:val="18"/>
              </w:rPr>
              <w:t>Purpose</w:t>
            </w:r>
          </w:p>
        </w:tc>
      </w:tr>
      <w:tr>
        <w:tc>
          <w:tcPr>
            <w:tcW w:type="dxa" w:w="2100"/>
            <w:vAlign w:val="center"/>
            <w:tcMar>
              <w:top w:w="80" w:type="dxa"/>
              <w:start w:w="120" w:type="dxa"/>
              <w:bottom w:w="80" w:type="dxa"/>
              <w:end w:w="120" w:type="dxa"/>
            </w:tcMar>
          </w:tcPr>
          <w:p>
            <w:pPr>
              <w:suppressAutoHyphens w:val="true"/>
            </w:pPr>
            <w:r>
              <w:rPr>
                <w:sz w:val="18"/>
              </w:rPr>
              <w:t>Naive</w:t>
            </w:r>
          </w:p>
        </w:tc>
        <w:tc>
          <w:tcPr>
            <w:tcW w:type="dxa" w:w="3300"/>
            <w:vAlign w:val="center"/>
            <w:tcMar>
              <w:top w:w="80" w:type="dxa"/>
              <w:start w:w="120" w:type="dxa"/>
              <w:bottom w:w="80" w:type="dxa"/>
              <w:end w:w="120" w:type="dxa"/>
            </w:tcMar>
          </w:tcPr>
          <w:p>
            <w:pPr>
              <w:suppressAutoHyphens w:val="true"/>
            </w:pPr>
            <w:r>
              <w:rPr>
                <w:sz w:val="18"/>
              </w:rPr>
              <w:t>No learned state dependence</w:t>
            </w:r>
          </w:p>
        </w:tc>
        <w:tc>
          <w:tcPr>
            <w:tcW w:type="dxa" w:w="3960"/>
            <w:vAlign w:val="center"/>
            <w:tcMar>
              <w:top w:w="80" w:type="dxa"/>
              <w:start w:w="120" w:type="dxa"/>
              <w:bottom w:w="80" w:type="dxa"/>
              <w:end w:w="120" w:type="dxa"/>
            </w:tcMar>
          </w:tcPr>
          <w:p>
            <w:pPr>
              <w:suppressAutoHyphens w:val="true"/>
            </w:pPr>
            <w:r>
              <w:rPr>
                <w:sz w:val="18"/>
              </w:rPr>
              <w:t>Fixed-spread baseline.</w:t>
            </w:r>
          </w:p>
        </w:tc>
      </w:tr>
      <w:tr>
        <w:tc>
          <w:tcPr>
            <w:tcW w:type="dxa" w:w="2100"/>
            <w:vAlign w:val="center"/>
            <w:tcMar>
              <w:top w:w="80" w:type="dxa"/>
              <w:start w:w="120" w:type="dxa"/>
              <w:bottom w:w="80" w:type="dxa"/>
              <w:end w:w="120" w:type="dxa"/>
            </w:tcMar>
          </w:tcPr>
          <w:p>
            <w:pPr>
              <w:suppressAutoHyphens w:val="true"/>
            </w:pPr>
            <w:r>
              <w:rPr>
                <w:sz w:val="18"/>
              </w:rPr>
              <w:t>Avellaneda-Stoikov</w:t>
            </w:r>
          </w:p>
        </w:tc>
        <w:tc>
          <w:tcPr>
            <w:tcW w:type="dxa" w:w="3300"/>
            <w:vAlign w:val="center"/>
            <w:tcMar>
              <w:top w:w="80" w:type="dxa"/>
              <w:start w:w="120" w:type="dxa"/>
              <w:bottom w:w="80" w:type="dxa"/>
              <w:end w:w="120" w:type="dxa"/>
            </w:tcMar>
          </w:tcPr>
          <w:p>
            <w:pPr>
              <w:suppressAutoHyphens w:val="true"/>
            </w:pPr>
            <w:r>
              <w:rPr>
                <w:sz w:val="18"/>
              </w:rPr>
              <w:t>Inventory, volatility, horizon</w:t>
            </w:r>
          </w:p>
        </w:tc>
        <w:tc>
          <w:tcPr>
            <w:tcW w:type="dxa" w:w="3960"/>
            <w:vAlign w:val="center"/>
            <w:tcMar>
              <w:top w:w="80" w:type="dxa"/>
              <w:start w:w="120" w:type="dxa"/>
              <w:bottom w:w="80" w:type="dxa"/>
              <w:end w:w="120" w:type="dxa"/>
            </w:tcMar>
          </w:tcPr>
          <w:p>
            <w:pPr>
              <w:suppressAutoHyphens w:val="true"/>
            </w:pPr>
            <w:r>
              <w:rPr>
                <w:sz w:val="18"/>
              </w:rPr>
              <w:t>Analytical inventory-risk baseline.</w:t>
            </w:r>
          </w:p>
        </w:tc>
      </w:tr>
      <w:tr>
        <w:tc>
          <w:tcPr>
            <w:tcW w:type="dxa" w:w="2100"/>
            <w:vAlign w:val="center"/>
            <w:tcMar>
              <w:top w:w="80" w:type="dxa"/>
              <w:start w:w="120" w:type="dxa"/>
              <w:bottom w:w="80" w:type="dxa"/>
              <w:end w:w="120" w:type="dxa"/>
            </w:tcMar>
          </w:tcPr>
          <w:p>
            <w:pPr>
              <w:suppressAutoHyphens w:val="true"/>
            </w:pPr>
            <w:r>
              <w:rPr>
                <w:sz w:val="18"/>
              </w:rPr>
              <w:t>ppo_aware</w:t>
            </w:r>
          </w:p>
        </w:tc>
        <w:tc>
          <w:tcPr>
            <w:tcW w:type="dxa" w:w="3300"/>
            <w:vAlign w:val="center"/>
            <w:tcMar>
              <w:top w:w="80" w:type="dxa"/>
              <w:start w:w="120" w:type="dxa"/>
              <w:bottom w:w="80" w:type="dxa"/>
              <w:end w:w="120" w:type="dxa"/>
            </w:tcMar>
          </w:tcPr>
          <w:p>
            <w:pPr>
              <w:suppressAutoHyphens w:val="true"/>
            </w:pPr>
            <w:r>
              <w:rPr>
                <w:sz w:val="18"/>
              </w:rPr>
              <w:t>sigma_hat and estimated regime one-hot</w:t>
            </w:r>
          </w:p>
        </w:tc>
        <w:tc>
          <w:tcPr>
            <w:tcW w:type="dxa" w:w="3960"/>
            <w:vAlign w:val="center"/>
            <w:tcMar>
              <w:top w:w="80" w:type="dxa"/>
              <w:start w:w="120" w:type="dxa"/>
              <w:bottom w:w="80" w:type="dxa"/>
              <w:end w:w="120" w:type="dxa"/>
            </w:tcMar>
          </w:tcPr>
          <w:p>
            <w:pPr>
              <w:suppressAutoHyphens w:val="true"/>
            </w:pPr>
            <w:r>
              <w:rPr>
                <w:sz w:val="18"/>
              </w:rPr>
              <w:t>Original regime-aware PPO.</w:t>
            </w:r>
          </w:p>
        </w:tc>
      </w:tr>
      <w:tr>
        <w:tc>
          <w:tcPr>
            <w:tcW w:type="dxa" w:w="2100"/>
            <w:vAlign w:val="center"/>
            <w:tcMar>
              <w:top w:w="80" w:type="dxa"/>
              <w:start w:w="120" w:type="dxa"/>
              <w:bottom w:w="80" w:type="dxa"/>
              <w:end w:w="120" w:type="dxa"/>
            </w:tcMar>
          </w:tcPr>
          <w:p>
            <w:pPr>
              <w:suppressAutoHyphens w:val="true"/>
            </w:pPr>
            <w:r>
              <w:rPr>
                <w:sz w:val="18"/>
              </w:rPr>
              <w:t>ppo_blind</w:t>
            </w:r>
          </w:p>
        </w:tc>
        <w:tc>
          <w:tcPr>
            <w:tcW w:type="dxa" w:w="3300"/>
            <w:vAlign w:val="center"/>
            <w:tcMar>
              <w:top w:w="80" w:type="dxa"/>
              <w:start w:w="120" w:type="dxa"/>
              <w:bottom w:w="80" w:type="dxa"/>
              <w:end w:w="120" w:type="dxa"/>
            </w:tcMar>
          </w:tcPr>
          <w:p>
            <w:pPr>
              <w:suppressAutoHyphens w:val="true"/>
            </w:pPr>
            <w:r>
              <w:rPr>
                <w:sz w:val="18"/>
              </w:rPr>
              <w:t>sigma_hat without regime one-hot</w:t>
            </w:r>
          </w:p>
        </w:tc>
        <w:tc>
          <w:tcPr>
            <w:tcW w:type="dxa" w:w="3960"/>
            <w:vAlign w:val="center"/>
            <w:tcMar>
              <w:top w:w="80" w:type="dxa"/>
              <w:start w:w="120" w:type="dxa"/>
              <w:bottom w:w="80" w:type="dxa"/>
              <w:end w:w="120" w:type="dxa"/>
            </w:tcMar>
          </w:tcPr>
          <w:p>
            <w:pPr>
              <w:suppressAutoHyphens w:val="true"/>
            </w:pPr>
            <w:r>
              <w:rPr>
                <w:sz w:val="18"/>
              </w:rPr>
              <w:t>Original regime-blind PPO.</w:t>
            </w:r>
          </w:p>
        </w:tc>
      </w:tr>
      <w:tr>
        <w:tc>
          <w:tcPr>
            <w:tcW w:type="dxa" w:w="2100"/>
            <w:vAlign w:val="center"/>
            <w:tcMar>
              <w:top w:w="80" w:type="dxa"/>
              <w:start w:w="120" w:type="dxa"/>
              <w:bottom w:w="80" w:type="dxa"/>
              <w:end w:w="120" w:type="dxa"/>
            </w:tcMar>
          </w:tcPr>
          <w:p>
            <w:pPr>
              <w:suppressAutoHyphens w:val="true"/>
            </w:pPr>
            <w:r>
              <w:rPr>
                <w:sz w:val="18"/>
              </w:rPr>
              <w:t>sigma_only</w:t>
            </w:r>
          </w:p>
        </w:tc>
        <w:tc>
          <w:tcPr>
            <w:tcW w:type="dxa" w:w="3300"/>
            <w:vAlign w:val="center"/>
            <w:tcMar>
              <w:top w:w="80" w:type="dxa"/>
              <w:start w:w="120" w:type="dxa"/>
              <w:bottom w:w="80" w:type="dxa"/>
              <w:end w:w="120" w:type="dxa"/>
            </w:tcMar>
          </w:tcPr>
          <w:p>
            <w:pPr>
              <w:suppressAutoHyphens w:val="true"/>
            </w:pPr>
            <w:r>
              <w:rPr>
                <w:sz w:val="18"/>
              </w:rPr>
              <w:t>Continuous sigma_hat only</w:t>
            </w:r>
          </w:p>
        </w:tc>
        <w:tc>
          <w:tcPr>
            <w:tcW w:type="dxa" w:w="3960"/>
            <w:vAlign w:val="center"/>
            <w:tcMar>
              <w:top w:w="80" w:type="dxa"/>
              <w:start w:w="120" w:type="dxa"/>
              <w:bottom w:w="80" w:type="dxa"/>
              <w:end w:w="120" w:type="dxa"/>
            </w:tcMar>
          </w:tcPr>
          <w:p>
            <w:pPr>
              <w:suppressAutoHyphens w:val="true"/>
            </w:pPr>
            <w:r>
              <w:rPr>
                <w:sz w:val="18"/>
              </w:rPr>
              <w:t>Tests whether sigma_hat alone carries the signal.</w:t>
            </w:r>
          </w:p>
        </w:tc>
      </w:tr>
      <w:tr>
        <w:tc>
          <w:tcPr>
            <w:tcW w:type="dxa" w:w="2100"/>
            <w:vAlign w:val="center"/>
            <w:tcMar>
              <w:top w:w="80" w:type="dxa"/>
              <w:start w:w="120" w:type="dxa"/>
              <w:bottom w:w="80" w:type="dxa"/>
              <w:end w:w="120" w:type="dxa"/>
            </w:tcMar>
          </w:tcPr>
          <w:p>
            <w:pPr>
              <w:suppressAutoHyphens w:val="true"/>
            </w:pPr>
            <w:r>
              <w:rPr>
                <w:sz w:val="18"/>
              </w:rPr>
              <w:t>combined</w:t>
            </w:r>
          </w:p>
        </w:tc>
        <w:tc>
          <w:tcPr>
            <w:tcW w:type="dxa" w:w="3300"/>
            <w:vAlign w:val="center"/>
            <w:tcMar>
              <w:top w:w="80" w:type="dxa"/>
              <w:start w:w="120" w:type="dxa"/>
              <w:bottom w:w="80" w:type="dxa"/>
              <w:end w:w="120" w:type="dxa"/>
            </w:tcMar>
          </w:tcPr>
          <w:p>
            <w:pPr>
              <w:suppressAutoHyphens w:val="true"/>
            </w:pPr>
            <w:r>
              <w:rPr>
                <w:sz w:val="18"/>
              </w:rPr>
              <w:t>sigma_hat and estimated regime one-hot</w:t>
            </w:r>
          </w:p>
        </w:tc>
        <w:tc>
          <w:tcPr>
            <w:tcW w:type="dxa" w:w="3960"/>
            <w:vAlign w:val="center"/>
            <w:tcMar>
              <w:top w:w="80" w:type="dxa"/>
              <w:start w:w="120" w:type="dxa"/>
              <w:bottom w:w="80" w:type="dxa"/>
              <w:end w:w="120" w:type="dxa"/>
            </w:tcMar>
          </w:tcPr>
          <w:p>
            <w:pPr>
              <w:suppressAutoHyphens w:val="true"/>
            </w:pPr>
            <w:r>
              <w:rPr>
                <w:sz w:val="18"/>
              </w:rPr>
              <w:t>Tests estimated categorical incremental value.</w:t>
            </w:r>
          </w:p>
        </w:tc>
      </w:tr>
      <w:tr>
        <w:tc>
          <w:tcPr>
            <w:tcW w:type="dxa" w:w="2100"/>
            <w:vAlign w:val="center"/>
            <w:tcMar>
              <w:top w:w="80" w:type="dxa"/>
              <w:start w:w="120" w:type="dxa"/>
              <w:bottom w:w="80" w:type="dxa"/>
              <w:end w:w="120" w:type="dxa"/>
            </w:tcMar>
          </w:tcPr>
          <w:p>
            <w:pPr>
              <w:suppressAutoHyphens w:val="true"/>
            </w:pPr>
            <w:r>
              <w:rPr>
                <w:sz w:val="18"/>
              </w:rPr>
              <w:t>oracle_full</w:t>
            </w:r>
          </w:p>
        </w:tc>
        <w:tc>
          <w:tcPr>
            <w:tcW w:type="dxa" w:w="3300"/>
            <w:vAlign w:val="center"/>
            <w:tcMar>
              <w:top w:w="80" w:type="dxa"/>
              <w:start w:w="120" w:type="dxa"/>
              <w:bottom w:w="80" w:type="dxa"/>
              <w:end w:w="120" w:type="dxa"/>
            </w:tcMar>
          </w:tcPr>
          <w:p>
            <w:pPr>
              <w:suppressAutoHyphens w:val="true"/>
            </w:pPr>
            <w:r>
              <w:rPr>
                <w:sz w:val="18"/>
              </w:rPr>
              <w:t>sigma_hat and true regime one-hot</w:t>
            </w:r>
          </w:p>
        </w:tc>
        <w:tc>
          <w:tcPr>
            <w:tcW w:type="dxa" w:w="3960"/>
            <w:vAlign w:val="center"/>
            <w:tcMar>
              <w:top w:w="80" w:type="dxa"/>
              <w:start w:w="120" w:type="dxa"/>
              <w:bottom w:w="80" w:type="dxa"/>
              <w:end w:w="120" w:type="dxa"/>
            </w:tcMar>
          </w:tcPr>
          <w:p>
            <w:pPr>
              <w:suppressAutoHyphens w:val="true"/>
            </w:pPr>
            <w:r>
              <w:rPr>
                <w:sz w:val="18"/>
              </w:rPr>
              <w:t>Tests perfect-label incremental value.</w:t>
            </w:r>
          </w:p>
        </w:tc>
      </w:tr>
      <w:tr>
        <w:tc>
          <w:tcPr>
            <w:tcW w:type="dxa" w:w="2100"/>
            <w:vAlign w:val="center"/>
            <w:tcMar>
              <w:top w:w="80" w:type="dxa"/>
              <w:start w:w="120" w:type="dxa"/>
              <w:bottom w:w="80" w:type="dxa"/>
              <w:end w:w="120" w:type="dxa"/>
            </w:tcMar>
          </w:tcPr>
          <w:p>
            <w:pPr>
              <w:suppressAutoHyphens w:val="true"/>
            </w:pPr>
            <w:r>
              <w:rPr>
                <w:sz w:val="18"/>
              </w:rPr>
              <w:t>regime_only / oracle_pure</w:t>
            </w:r>
          </w:p>
        </w:tc>
        <w:tc>
          <w:tcPr>
            <w:tcW w:type="dxa" w:w="3300"/>
            <w:vAlign w:val="center"/>
            <w:tcMar>
              <w:top w:w="80" w:type="dxa"/>
              <w:start w:w="120" w:type="dxa"/>
              <w:bottom w:w="80" w:type="dxa"/>
              <w:end w:w="120" w:type="dxa"/>
            </w:tcMar>
          </w:tcPr>
          <w:p>
            <w:pPr>
              <w:suppressAutoHyphens w:val="true"/>
            </w:pPr>
            <w:r>
              <w:rPr>
                <w:sz w:val="18"/>
              </w:rPr>
              <w:t>Categorical labels without sigma_hat</w:t>
            </w:r>
          </w:p>
        </w:tc>
        <w:tc>
          <w:tcPr>
            <w:tcW w:type="dxa" w:w="3960"/>
            <w:vAlign w:val="center"/>
            <w:tcMar>
              <w:top w:w="80" w:type="dxa"/>
              <w:start w:w="120" w:type="dxa"/>
              <w:bottom w:w="80" w:type="dxa"/>
              <w:end w:w="120" w:type="dxa"/>
            </w:tcMar>
          </w:tcPr>
          <w:p>
            <w:pPr>
              <w:suppressAutoHyphens w:val="true"/>
            </w:pPr>
            <w:r>
              <w:rPr>
                <w:sz w:val="18"/>
              </w:rPr>
              <w:t>Anchor label-only variants.</w:t>
            </w:r>
          </w:p>
        </w:tc>
      </w:tr>
    </w:tbl>
    <w:p>
      <w:pPr>
        <w:suppressAutoHyphens w:val="true"/>
      </w:pPr>
    </w:p>
    <w:p>
      <w:pPr>
        <w:pStyle w:val="Heading2"/>
        <w:suppressAutoHyphens w:val="true"/>
      </w:pPr>
      <w:r>
        <w:t>3.3 Information-Design Question</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w:t>
      </w:r>
    </w:p>
    <w:p>
      <w:pPr>
        <w:pStyle w:val="Heading1"/>
        <w:suppressAutoHyphens w:val="true"/>
      </w:pPr>
      <w:r>
        <w:t>4 System Architecture</w:t>
      </w:r>
    </w:p>
    <w:p>
      <w:pPr>
        <w:pStyle w:val="Heading2"/>
        <w:suppressAutoHyphens w:val="true"/>
      </w:pPr>
      <w:r>
        <w:t>4.1 Run Lifecycle and Reproducibility Layer</w:t>
      </w:r>
    </w:p>
    <w:p>
      <w:pPr>
        <w:suppressAutoHyphens w:val="true"/>
      </w:pPr>
      <w:r>
        <w:t>`run.py` dispatches jobs from JSON configuration files, creates a timestamped run directory, snapshots the config, records git metadata, writes logs and metrics, and finalizes run status. Long WP6 jobs support resume validation against the saved config snapshot.</w:t>
      </w:r>
    </w:p>
    <w:p>
      <w:pPr>
        <w:pStyle w:val="Heading2"/>
        <w:suppressAutoHyphens w:val="true"/>
      </w:pPr>
      <w:r>
        <w:t>4.2 Synthetic Market and Detector Layer</w:t>
      </w:r>
    </w:p>
    <w:p>
      <w:pPr>
        <w:suppressAutoHyphens w:val="true"/>
      </w:pPr>
      <w:r>
        <w:t>`src/wp1/sim.py` implements the fill and inventory simulator. `src/wp2/synth_regime.py` generates synthetic regime paths, mid-prices, rolling realized volatility, and detector outputs.</w:t>
      </w:r>
    </w:p>
    <w:p>
      <w:pPr>
        <w:pStyle w:val="Heading2"/>
        <w:suppressAutoHyphens w:val="true"/>
      </w:pPr>
      <w:r>
        <w:t>4.3 Gymnasium Environment Layer</w:t>
      </w:r>
    </w:p>
    <w:p>
      <w:pPr>
        <w:suppressAutoHyphens w:val="true"/>
      </w:pPr>
      <w:r>
        <w:t>`src/wp3/env.py` wraps the simulator as a Gymnasium environment. The observation vector is [q_norm, sigma_hat, tau, regime_L, regime_M, regime_H]. Warmup, invalid, or disabled regime labels produce a zero one-hot vector rather than an artificial medium label.</w:t>
      </w:r>
    </w:p>
    <w:p>
      <w:pPr>
        <w:pStyle w:val="Heading2"/>
        <w:suppressAutoHyphens w:val="true"/>
      </w:pPr>
      <w:r>
        <w:t>4.4 Strategy and Training Layer</w:t>
      </w:r>
    </w:p>
    <w:p>
      <w:pPr>
        <w:suppressAutoHyphens w:val="true"/>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pPr>
        <w:pStyle w:val="Heading2"/>
        <w:suppressAutoHyphens w:val="true"/>
      </w:pPr>
      <w:r>
        <w:t>4.5 Evaluation and Evidence Layer</w:t>
      </w:r>
    </w:p>
    <w:p>
      <w:pPr>
        <w:suppressAutoHyphens w:val="true"/>
      </w:pPr>
      <w:r>
        <w:t>Evaluation writes CSV metrics, figures, and summaries. The thesis_33 adaptation embeds existing figures and quotes frozen numerical evidence; it does not regenerate protected evidence artifacts.</w:t>
      </w:r>
    </w:p>
    <w:p>
      <w:pPr>
        <w:pStyle w:val="Heading2"/>
        <w:keepNext/>
        <w:suppressAutoHyphens w:val="true"/>
      </w:pPr>
      <w:r>
        <w:t>4.6 Methodology Pipeline Illustration</w:t>
      </w:r>
    </w:p>
    <w:p>
      <w:pPr>
        <w:keepNext/>
        <w:suppressAutoHyphens w:val="true"/>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pPr>
        <w:keepNext/>
        <w:keepLines/>
        <w:jc w:val="center"/>
        <w:suppressAutoHyphens w:val="true"/>
      </w:pPr>
      <w:r>
        <w:drawing>
          <wp:inline xmlns:a="http://schemas.openxmlformats.org/drawingml/2006/main" xmlns:pic="http://schemas.openxmlformats.org/drawingml/2006/picture">
            <wp:extent cx="5852160" cy="1702447"/>
            <wp:docPr id="14" name="Picture 14"/>
            <wp:cNvGraphicFramePr>
              <a:graphicFrameLocks noChangeAspect="1"/>
            </wp:cNvGraphicFramePr>
            <a:graphic>
              <a:graphicData uri="http://schemas.openxmlformats.org/drawingml/2006/picture">
                <pic:pic>
                  <pic:nvPicPr>
                    <pic:cNvPr id="0" name="fig_pipeline_architecture.png"/>
                    <pic:cNvPicPr/>
                  </pic:nvPicPr>
                  <pic:blipFill>
                    <a:blip r:embed="rId24"/>
                    <a:stretch>
                      <a:fillRect/>
                    </a:stretch>
                  </pic:blipFill>
                  <pic:spPr>
                    <a:xfrm>
                      <a:off x="0" y="0"/>
                      <a:ext cx="5852160" cy="1702447"/>
                    </a:xfrm>
                    <a:prstGeom prst="rect"/>
                  </pic:spPr>
                </pic:pic>
              </a:graphicData>
            </a:graphic>
          </wp:inline>
        </w:drawing>
      </w:r>
    </w:p>
    <w:p>
      <w:pPr>
        <w:pStyle w:val="Caption"/>
        <w:keepLines/>
        <w:jc w:val="center"/>
        <w:suppressAutoHyphens w:val="true"/>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pPr>
        <w:pStyle w:val="Heading1"/>
        <w:suppressAutoHyphens w:val="true"/>
      </w:pPr>
      <w:r>
        <w:t>5 Layered Experimental Model</w:t>
      </w:r>
    </w:p>
    <w:p>
      <w:pPr>
        <w:pStyle w:val="Heading2"/>
        <w:suppressAutoHyphens w:val="true"/>
      </w:pPr>
      <w:r>
        <w:t>5.1 Layer 1: Market State Generation</w:t>
      </w:r>
    </w:p>
    <w:p>
      <w:pPr>
        <w:suppressAutoHyphens w:val="true"/>
      </w:pPr>
      <w:r>
        <w:t>Generate Markov regimes and mid-price paths under controlled volatility multipliers.</w:t>
      </w:r>
    </w:p>
    <w:p>
      <w:pPr>
        <w:pStyle w:val="Heading2"/>
        <w:suppressAutoHyphens w:val="true"/>
      </w:pPr>
      <w:r>
        <w:t>5.2 Layer 2: Signal Construction</w:t>
      </w:r>
    </w:p>
    <w:p>
      <w:pPr>
        <w:suppressAutoHyphens w:val="true"/>
      </w:pPr>
      <w:r>
        <w:t>Construct sigma_hat from rolling realized volatility and derive estimated regime labels.</w:t>
      </w:r>
    </w:p>
    <w:p>
      <w:pPr>
        <w:pStyle w:val="Heading2"/>
        <w:suppressAutoHyphens w:val="true"/>
      </w:pPr>
      <w:r>
        <w:t>5.3 Layer 3: Observation Encoding</w:t>
      </w:r>
    </w:p>
    <w:p>
      <w:pPr>
        <w:suppressAutoHyphens w:val="true"/>
      </w:pPr>
      <w:r>
        <w:t>Encode inventory, volatility, time-to-horizon, and optional regime one-hot channels.</w:t>
      </w:r>
    </w:p>
    <w:p>
      <w:pPr>
        <w:pStyle w:val="Heading2"/>
        <w:suppressAutoHyphens w:val="true"/>
      </w:pPr>
      <w:r>
        <w:t>5.4 Layer 4: Action and Execution</w:t>
      </w:r>
    </w:p>
    <w:p>
      <w:pPr>
        <w:suppressAutoHyphens w:val="true"/>
      </w:pPr>
      <w:r>
        <w:t>Decode PPO actions into bid/ask quote distances and sample Poisson-arrival fills.</w:t>
      </w:r>
    </w:p>
    <w:p>
      <w:pPr>
        <w:pStyle w:val="Heading2"/>
        <w:suppressAutoHyphens w:val="true"/>
      </w:pPr>
      <w:r>
        <w:t>5.5 Layer 5: Learning and Evaluation</w:t>
      </w:r>
    </w:p>
    <w:p>
      <w:pPr>
        <w:suppressAutoHyphens w:val="true"/>
      </w:pPr>
      <w:r>
        <w:t>Train PPO on the chronological train segment and evaluate deterministic policies OOS.</w:t>
      </w:r>
    </w:p>
    <w:p>
      <w:pPr>
        <w:pStyle w:val="Heading1"/>
        <w:suppressAutoHyphens w:val="true"/>
      </w:pPr>
      <w:r>
        <w:t>6 Algorithm Specification and Pseudocode</w:t>
      </w:r>
    </w:p>
    <w:p>
      <w:pPr>
        <w:pStyle w:val="Heading2"/>
        <w:suppressAutoHyphens w:val="true"/>
      </w:pPr>
      <w:r>
        <w:t>6.1 Plain-Language Overview</w:t>
      </w:r>
    </w:p>
    <w:p>
      <w:pPr>
        <w:suppressAutoHyphens w:val="true"/>
      </w:pPr>
      <w:r>
        <w:t>The experiment creates a synthetic market path, estimates volatility signals, trains policies on the first 70% of the path, and evaluates all strategies on the held-out 30%. Ablations modify which volatility channels the PPO policy can observe.</w:t>
      </w:r>
    </w:p>
    <w:p>
      <w:pPr>
        <w:pStyle w:val="Heading3"/>
        <w:suppressAutoHyphens w:val="true"/>
      </w:pPr>
      <w:r>
        <w:t>6.2 Synthetic Market and Regime Generation</w:t>
      </w:r>
    </w:p>
    <w:p>
      <w:pPr>
        <w:suppressAutoHyphens w:val="true"/>
      </w:pPr>
      <w:r>
        <w:rPr>
          <w:rFonts w:ascii="Consolas" w:hAnsi="Consolas" w:eastAsia="Consolas"/>
          <w:sz w:val="18"/>
        </w:rPr>
        <w:t>Input: seed, transition matrix P, base volatility, volatility multipliers, n_steps</w:t>
      </w:r>
    </w:p>
    <w:p>
      <w:pPr>
        <w:suppressAutoHyphens w:val="true"/>
      </w:pPr>
      <w:r>
        <w:rPr>
          <w:rFonts w:ascii="Consolas" w:hAnsi="Consolas" w:eastAsia="Consolas"/>
          <w:sz w:val="18"/>
        </w:rPr>
        <w:t>Initialize z_0 and S_0</w:t>
      </w:r>
    </w:p>
    <w:p>
      <w:pPr>
        <w:suppressAutoHyphens w:val="true"/>
      </w:pPr>
      <w:r>
        <w:rPr>
          <w:rFonts w:ascii="Consolas" w:hAnsi="Consolas" w:eastAsia="Consolas"/>
          <w:sz w:val="18"/>
        </w:rPr>
        <w:t>For t = 0 ... n_steps - 1:</w:t>
      </w:r>
    </w:p>
    <w:p>
      <w:pPr>
        <w:suppressAutoHyphens w:val="true"/>
      </w:pPr>
      <w:r>
        <w:rPr>
          <w:rFonts w:ascii="Consolas" w:hAnsi="Consolas" w:eastAsia="Consolas"/>
          <w:sz w:val="18"/>
        </w:rPr>
        <w:t xml:space="preserve">    sample z_{t+1} from P[z_t]</w:t>
      </w:r>
    </w:p>
    <w:p>
      <w:pPr>
        <w:suppressAutoHyphens w:val="true"/>
      </w:pPr>
      <w:r>
        <w:rPr>
          <w:rFonts w:ascii="Consolas" w:hAnsi="Consolas" w:eastAsia="Consolas"/>
          <w:sz w:val="18"/>
        </w:rPr>
        <w:t xml:space="preserve">    set sigma_t = base_sigma * multiplier[z_t]</w:t>
      </w:r>
    </w:p>
    <w:p>
      <w:pPr>
        <w:suppressAutoHyphens w:val="true"/>
      </w:pPr>
      <w:r>
        <w:rPr>
          <w:rFonts w:ascii="Consolas" w:hAnsi="Consolas" w:eastAsia="Consolas"/>
          <w:sz w:val="18"/>
        </w:rPr>
        <w:t xml:space="preserve">    sample mid-price increment and update S_{t+1}</w:t>
      </w:r>
    </w:p>
    <w:p>
      <w:pPr>
        <w:suppressAutoHyphens w:val="true"/>
      </w:pPr>
      <w:r>
        <w:rPr>
          <w:rFonts w:ascii="Consolas" w:hAnsi="Consolas" w:eastAsia="Consolas"/>
          <w:sz w:val="18"/>
        </w:rPr>
        <w:t>Compute rolling sigma_hat after warmup window</w:t>
      </w:r>
    </w:p>
    <w:p>
      <w:pPr>
        <w:suppressAutoHyphens w:val="true"/>
      </w:pPr>
      <w:r>
        <w:rPr>
          <w:rFonts w:ascii="Consolas" w:hAnsi="Consolas" w:eastAsia="Consolas"/>
          <w:sz w:val="18"/>
        </w:rPr>
        <w:t>Calibrate thresholds on warmup data and assign regime_hat</w:t>
      </w:r>
    </w:p>
    <w:p>
      <w:pPr>
        <w:suppressAutoHyphens w:val="true"/>
      </w:pPr>
      <w:r>
        <w:rPr>
          <w:rFonts w:ascii="Consolas" w:hAnsi="Consolas" w:eastAsia="Consolas"/>
          <w:sz w:val="18"/>
        </w:rPr>
        <w:t>Output: exogenous table with mid, sigma_hat, regime_true, regime_hat</w:t>
      </w:r>
    </w:p>
    <w:p>
      <w:pPr>
        <w:suppressAutoHyphens w:val="true"/>
      </w:pPr>
    </w:p>
    <w:p>
      <w:pPr>
        <w:pStyle w:val="Heading3"/>
        <w:suppressAutoHyphens w:val="true"/>
      </w:pPr>
      <w:r>
        <w:t>6.3 Market-Making Environment Step</w:t>
      </w:r>
    </w:p>
    <w:p>
      <w:pPr>
        <w:suppressAutoHyphens w:val="true"/>
      </w:pPr>
      <w:r>
        <w:rPr>
          <w:rFonts w:ascii="Consolas" w:hAnsi="Consolas" w:eastAsia="Consolas"/>
          <w:sz w:val="18"/>
        </w:rPr>
        <w:t>Input: action (h_idx, m_idx), current simulator state, exogenous row</w:t>
      </w:r>
    </w:p>
    <w:p>
      <w:pPr>
        <w:suppressAutoHyphens w:val="true"/>
      </w:pPr>
      <w:r>
        <w:rPr>
          <w:rFonts w:ascii="Consolas" w:hAnsi="Consolas" w:eastAsia="Consolas"/>
          <w:sz w:val="18"/>
        </w:rPr>
        <w:t>Decode h = h_idx + 1 and m = m_idx - 2</w:t>
      </w:r>
    </w:p>
    <w:p>
      <w:pPr>
        <w:suppressAutoHyphens w:val="true"/>
      </w:pPr>
      <w:r>
        <w:rPr>
          <w:rFonts w:ascii="Consolas" w:hAnsi="Consolas" w:eastAsia="Consolas"/>
          <w:sz w:val="18"/>
        </w:rPr>
        <w:t>Set delta_bid = max(1, h + m), delta_ask = max(1, h - m)</w:t>
      </w:r>
    </w:p>
    <w:p>
      <w:pPr>
        <w:suppressAutoHyphens w:val="true"/>
      </w:pPr>
      <w:r>
        <w:rPr>
          <w:rFonts w:ascii="Consolas" w:hAnsi="Consolas" w:eastAsia="Consolas"/>
          <w:sz w:val="18"/>
        </w:rPr>
        <w:t>Compute fill intensities and per-step fill probabilities</w:t>
      </w:r>
    </w:p>
    <w:p>
      <w:pPr>
        <w:suppressAutoHyphens w:val="true"/>
      </w:pPr>
      <w:r>
        <w:rPr>
          <w:rFonts w:ascii="Consolas" w:hAnsi="Consolas" w:eastAsia="Consolas"/>
          <w:sz w:val="18"/>
        </w:rPr>
        <w:t>Sample bid and ask fills</w:t>
      </w:r>
    </w:p>
    <w:p>
      <w:pPr>
        <w:suppressAutoHyphens w:val="true"/>
      </w:pPr>
      <w:r>
        <w:rPr>
          <w:rFonts w:ascii="Consolas" w:hAnsi="Consolas" w:eastAsia="Consolas"/>
          <w:sz w:val="18"/>
        </w:rPr>
        <w:t>Update inventory and cash, including fees</w:t>
      </w:r>
    </w:p>
    <w:p>
      <w:pPr>
        <w:suppressAutoHyphens w:val="true"/>
      </w:pPr>
      <w:r>
        <w:rPr>
          <w:rFonts w:ascii="Consolas" w:hAnsi="Consolas" w:eastAsia="Consolas"/>
          <w:sz w:val="18"/>
        </w:rPr>
        <w:t>Advance mid-price and compute W_{t+1}</w:t>
      </w:r>
    </w:p>
    <w:p>
      <w:pPr>
        <w:suppressAutoHyphens w:val="true"/>
      </w:pPr>
      <w:r>
        <w:rPr>
          <w:rFonts w:ascii="Consolas" w:hAnsi="Consolas" w:eastAsia="Consolas"/>
          <w:sz w:val="18"/>
        </w:rPr>
        <w:t>Return observation, reward = delta_equity - eta * inventory^2, done flag, info</w:t>
      </w:r>
    </w:p>
    <w:p>
      <w:pPr>
        <w:suppressAutoHyphens w:val="true"/>
      </w:pPr>
    </w:p>
    <w:p>
      <w:pPr>
        <w:pStyle w:val="Heading3"/>
        <w:suppressAutoHyphens w:val="true"/>
      </w:pPr>
      <w:r>
        <w:t>6.4 PPO Training and OOS Evaluation Protocol</w:t>
      </w:r>
    </w:p>
    <w:p>
      <w:pPr>
        <w:suppressAutoHyphens w:val="true"/>
      </w:pPr>
      <w:r>
        <w:rPr>
          <w:rFonts w:ascii="Consolas" w:hAnsi="Consolas" w:eastAsia="Consolas"/>
          <w:sz w:val="18"/>
        </w:rPr>
        <w:t>For each seed and variant:</w:t>
      </w:r>
    </w:p>
    <w:p>
      <w:pPr>
        <w:suppressAutoHyphens w:val="true"/>
      </w:pPr>
      <w:r>
        <w:rPr>
          <w:rFonts w:ascii="Consolas" w:hAnsi="Consolas" w:eastAsia="Consolas"/>
          <w:sz w:val="18"/>
        </w:rPr>
        <w:t xml:space="preserve">    generate one exogenous synthetic path</w:t>
      </w:r>
    </w:p>
    <w:p>
      <w:pPr>
        <w:suppressAutoHyphens w:val="true"/>
      </w:pPr>
      <w:r>
        <w:rPr>
          <w:rFonts w:ascii="Consolas" w:hAnsi="Consolas" w:eastAsia="Consolas"/>
          <w:sz w:val="18"/>
        </w:rPr>
        <w:t xml:space="preserve">    split path chronologically into train and test segments</w:t>
      </w:r>
    </w:p>
    <w:p>
      <w:pPr>
        <w:suppressAutoHyphens w:val="true"/>
      </w:pPr>
      <w:r>
        <w:rPr>
          <w:rFonts w:ascii="Consolas" w:hAnsi="Consolas" w:eastAsia="Consolas"/>
          <w:sz w:val="18"/>
        </w:rPr>
        <w:t xml:space="preserve">    configure observation channels for the variant</w:t>
      </w:r>
    </w:p>
    <w:p>
      <w:pPr>
        <w:suppressAutoHyphens w:val="true"/>
      </w:pPr>
      <w:r>
        <w:rPr>
          <w:rFonts w:ascii="Consolas" w:hAnsi="Consolas" w:eastAsia="Consolas"/>
          <w:sz w:val="18"/>
        </w:rPr>
        <w:t xml:space="preserve">    train PPO on the train segment for the configured timesteps</w:t>
      </w:r>
    </w:p>
    <w:p>
      <w:pPr>
        <w:suppressAutoHyphens w:val="true"/>
      </w:pPr>
      <w:r>
        <w:rPr>
          <w:rFonts w:ascii="Consolas" w:hAnsi="Consolas" w:eastAsia="Consolas"/>
          <w:sz w:val="18"/>
        </w:rPr>
        <w:t xml:space="preserve">    evaluate the deterministic policy on the test segment</w:t>
      </w:r>
    </w:p>
    <w:p>
      <w:pPr>
        <w:suppressAutoHyphens w:val="true"/>
      </w:pPr>
      <w:r>
        <w:rPr>
          <w:rFonts w:ascii="Consolas" w:hAnsi="Consolas" w:eastAsia="Consolas"/>
          <w:sz w:val="18"/>
        </w:rPr>
        <w:t xml:space="preserve">    log Sharpe-like ratio, final equity, inventory p99, fill rate, and per-regime metrics</w:t>
      </w:r>
    </w:p>
    <w:p>
      <w:pPr>
        <w:suppressAutoHyphens w:val="true"/>
      </w:pPr>
      <w:r>
        <w:rPr>
          <w:rFonts w:ascii="Consolas" w:hAnsi="Consolas" w:eastAsia="Consolas"/>
          <w:sz w:val="18"/>
        </w:rPr>
        <w:t>Aggregate seed-paired statistics across variants</w:t>
      </w:r>
    </w:p>
    <w:p>
      <w:pPr>
        <w:suppressAutoHyphens w:val="true"/>
      </w:pPr>
    </w:p>
    <w:p>
      <w:pPr>
        <w:pStyle w:val="Heading3"/>
        <w:suppressAutoHyphens w:val="true"/>
      </w:pPr>
      <w:r>
        <w:t>6.5 Experiment 5: Signal-Informativeness Sweep</w:t>
      </w:r>
    </w:p>
    <w:p>
      <w:pPr>
        <w:suppressAutoHyphens w:val="true"/>
      </w:pPr>
      <w:r>
        <w:rPr>
          <w:rFonts w:ascii="Consolas" w:hAnsi="Consolas" w:eastAsia="Consolas"/>
          <w:sz w:val="18"/>
        </w:rPr>
        <w:t>For each degradation condition in {full, noisy, lagged, coarsened, none}:</w:t>
      </w:r>
    </w:p>
    <w:p>
      <w:pPr>
        <w:suppressAutoHyphens w:val="true"/>
      </w:pPr>
      <w:r>
        <w:rPr>
          <w:rFonts w:ascii="Consolas" w:hAnsi="Consolas" w:eastAsia="Consolas"/>
          <w:sz w:val="18"/>
        </w:rPr>
        <w:t xml:space="preserve">    transform sigma_hat according to the condition</w:t>
      </w:r>
    </w:p>
    <w:p>
      <w:pPr>
        <w:suppressAutoHyphens w:val="true"/>
      </w:pPr>
      <w:r>
        <w:rPr>
          <w:rFonts w:ascii="Consolas" w:hAnsi="Consolas" w:eastAsia="Consolas"/>
          <w:sz w:val="18"/>
        </w:rPr>
        <w:t xml:space="preserve">    for each valid variant and seed:</w:t>
      </w:r>
    </w:p>
    <w:p>
      <w:pPr>
        <w:suppressAutoHyphens w:val="true"/>
      </w:pPr>
      <w:r>
        <w:rPr>
          <w:rFonts w:ascii="Consolas" w:hAnsi="Consolas" w:eastAsia="Consolas"/>
          <w:sz w:val="18"/>
        </w:rPr>
        <w:t xml:space="preserve">        train PPO and evaluate OOS</w:t>
      </w:r>
    </w:p>
    <w:p>
      <w:pPr>
        <w:suppressAutoHyphens w:val="true"/>
      </w:pPr>
      <w:r>
        <w:rPr>
          <w:rFonts w:ascii="Consolas" w:hAnsi="Consolas" w:eastAsia="Consolas"/>
          <w:sz w:val="18"/>
        </w:rPr>
        <w:t>Aggregate condition-variant means and paired comparisons</w:t>
      </w:r>
    </w:p>
    <w:p>
      <w:pPr>
        <w:suppressAutoHyphens w:val="true"/>
      </w:pPr>
      <w:r>
        <w:rPr>
          <w:rFonts w:ascii="Consolas" w:hAnsi="Consolas" w:eastAsia="Consolas"/>
          <w:sz w:val="18"/>
        </w:rPr>
        <w:t>Test whether combined gains value as sigma_hat is degraded</w:t>
      </w:r>
    </w:p>
    <w:p>
      <w:pPr>
        <w:suppressAutoHyphens w:val="true"/>
      </w:pPr>
    </w:p>
    <w:p>
      <w:pPr>
        <w:pStyle w:val="Heading2"/>
        <w:suppressAutoHyphens w:val="true"/>
      </w:pPr>
      <w:r>
        <w:t>6.6 Reference Implementation Map</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pPr>
              <w:suppressAutoHyphens w:val="true"/>
            </w:pPr>
            <w:r>
              <w:rPr>
                <w:b/>
                <w:sz w:val="18"/>
              </w:rPr>
              <w:t>Component</w:t>
            </w:r>
          </w:p>
        </w:tc>
        <w:tc>
          <w:tcPr>
            <w:tcW w:type="dxa" w:w="6060"/>
            <w:shd w:fill="F2F4F7"/>
            <w:vAlign w:val="center"/>
            <w:tcMar>
              <w:top w:w="80" w:type="dxa"/>
              <w:start w:w="120" w:type="dxa"/>
              <w:bottom w:w="80" w:type="dxa"/>
              <w:end w:w="120" w:type="dxa"/>
            </w:tcMar>
          </w:tcPr>
          <w:p>
            <w:pPr>
              <w:suppressAutoHyphens w:val="true"/>
            </w:pPr>
            <w:r>
              <w:rPr>
                <w:b/>
                <w:sz w:val="18"/>
              </w:rPr>
              <w:t>Reference file</w:t>
            </w:r>
          </w:p>
        </w:tc>
      </w:tr>
      <w:tr>
        <w:tc>
          <w:tcPr>
            <w:tcW w:type="dxa" w:w="3300"/>
            <w:vAlign w:val="center"/>
            <w:tcMar>
              <w:top w:w="80" w:type="dxa"/>
              <w:start w:w="120" w:type="dxa"/>
              <w:bottom w:w="80" w:type="dxa"/>
              <w:end w:w="120" w:type="dxa"/>
            </w:tcMar>
          </w:tcPr>
          <w:p>
            <w:pPr>
              <w:suppressAutoHyphens w:val="true"/>
            </w:pPr>
            <w:r>
              <w:rPr>
                <w:sz w:val="18"/>
              </w:rPr>
              <w:t>Run lifecycle</w:t>
            </w:r>
          </w:p>
        </w:tc>
        <w:tc>
          <w:tcPr>
            <w:tcW w:type="dxa" w:w="6060"/>
            <w:vAlign w:val="center"/>
            <w:tcMar>
              <w:top w:w="80" w:type="dxa"/>
              <w:start w:w="120" w:type="dxa"/>
              <w:bottom w:w="80" w:type="dxa"/>
              <w:end w:w="120" w:type="dxa"/>
            </w:tcMar>
          </w:tcPr>
          <w:p>
            <w:pPr>
              <w:suppressAutoHyphens w:val="true"/>
            </w:pPr>
            <w:r>
              <w:rPr>
                <w:sz w:val="18"/>
              </w:rPr>
              <w:t>src/run_context.py, run.py</w:t>
            </w:r>
          </w:p>
        </w:tc>
      </w:tr>
      <w:tr>
        <w:tc>
          <w:tcPr>
            <w:tcW w:type="dxa" w:w="3300"/>
            <w:vAlign w:val="center"/>
            <w:tcMar>
              <w:top w:w="80" w:type="dxa"/>
              <w:start w:w="120" w:type="dxa"/>
              <w:bottom w:w="80" w:type="dxa"/>
              <w:end w:w="120" w:type="dxa"/>
            </w:tcMar>
          </w:tcPr>
          <w:p>
            <w:pPr>
              <w:suppressAutoHyphens w:val="true"/>
            </w:pPr>
            <w:r>
              <w:rPr>
                <w:sz w:val="18"/>
              </w:rPr>
              <w:t>Simulator</w:t>
            </w:r>
          </w:p>
        </w:tc>
        <w:tc>
          <w:tcPr>
            <w:tcW w:type="dxa" w:w="6060"/>
            <w:vAlign w:val="center"/>
            <w:tcMar>
              <w:top w:w="80" w:type="dxa"/>
              <w:start w:w="120" w:type="dxa"/>
              <w:bottom w:w="80" w:type="dxa"/>
              <w:end w:w="120" w:type="dxa"/>
            </w:tcMar>
          </w:tcPr>
          <w:p>
            <w:pPr>
              <w:suppressAutoHyphens w:val="true"/>
            </w:pPr>
            <w:r>
              <w:rPr>
                <w:sz w:val="18"/>
              </w:rPr>
              <w:t>src/wp1/sim.py</w:t>
            </w:r>
          </w:p>
        </w:tc>
      </w:tr>
      <w:tr>
        <w:tc>
          <w:tcPr>
            <w:tcW w:type="dxa" w:w="3300"/>
            <w:vAlign w:val="center"/>
            <w:tcMar>
              <w:top w:w="80" w:type="dxa"/>
              <w:start w:w="120" w:type="dxa"/>
              <w:bottom w:w="80" w:type="dxa"/>
              <w:end w:w="120" w:type="dxa"/>
            </w:tcMar>
          </w:tcPr>
          <w:p>
            <w:pPr>
              <w:suppressAutoHyphens w:val="true"/>
            </w:pPr>
            <w:r>
              <w:rPr>
                <w:sz w:val="18"/>
              </w:rPr>
              <w:t>Regime generation and detectors</w:t>
            </w:r>
          </w:p>
        </w:tc>
        <w:tc>
          <w:tcPr>
            <w:tcW w:type="dxa" w:w="6060"/>
            <w:vAlign w:val="center"/>
            <w:tcMar>
              <w:top w:w="80" w:type="dxa"/>
              <w:start w:w="120" w:type="dxa"/>
              <w:bottom w:w="80" w:type="dxa"/>
              <w:end w:w="120" w:type="dxa"/>
            </w:tcMar>
          </w:tcPr>
          <w:p>
            <w:pPr>
              <w:suppressAutoHyphens w:val="true"/>
            </w:pPr>
            <w:r>
              <w:rPr>
                <w:sz w:val="18"/>
              </w:rPr>
              <w:t>src/wp2/synth_regime.py</w:t>
            </w:r>
          </w:p>
        </w:tc>
      </w:tr>
      <w:tr>
        <w:tc>
          <w:tcPr>
            <w:tcW w:type="dxa" w:w="3300"/>
            <w:vAlign w:val="center"/>
            <w:tcMar>
              <w:top w:w="80" w:type="dxa"/>
              <w:start w:w="120" w:type="dxa"/>
              <w:bottom w:w="80" w:type="dxa"/>
              <w:end w:w="120" w:type="dxa"/>
            </w:tcMar>
          </w:tcPr>
          <w:p>
            <w:pPr>
              <w:suppressAutoHyphens w:val="true"/>
            </w:pPr>
            <w:r>
              <w:rPr>
                <w:sz w:val="18"/>
              </w:rPr>
              <w:t>Gymnasium environment</w:t>
            </w:r>
          </w:p>
        </w:tc>
        <w:tc>
          <w:tcPr>
            <w:tcW w:type="dxa" w:w="6060"/>
            <w:vAlign w:val="center"/>
            <w:tcMar>
              <w:top w:w="80" w:type="dxa"/>
              <w:start w:w="120" w:type="dxa"/>
              <w:bottom w:w="80" w:type="dxa"/>
              <w:end w:w="120" w:type="dxa"/>
            </w:tcMar>
          </w:tcPr>
          <w:p>
            <w:pPr>
              <w:suppressAutoHyphens w:val="true"/>
            </w:pPr>
            <w:r>
              <w:rPr>
                <w:sz w:val="18"/>
              </w:rPr>
              <w:t>src/wp3/env.py</w:t>
            </w:r>
          </w:p>
        </w:tc>
      </w:tr>
      <w:tr>
        <w:tc>
          <w:tcPr>
            <w:tcW w:type="dxa" w:w="3300"/>
            <w:vAlign w:val="center"/>
            <w:tcMar>
              <w:top w:w="80" w:type="dxa"/>
              <w:start w:w="120" w:type="dxa"/>
              <w:bottom w:w="80" w:type="dxa"/>
              <w:end w:w="120" w:type="dxa"/>
            </w:tcMar>
          </w:tcPr>
          <w:p>
            <w:pPr>
              <w:suppressAutoHyphens w:val="true"/>
            </w:pPr>
            <w:r>
              <w:rPr>
                <w:sz w:val="18"/>
              </w:rPr>
              <w:t>PPO training</w:t>
            </w:r>
          </w:p>
        </w:tc>
        <w:tc>
          <w:tcPr>
            <w:tcW w:type="dxa" w:w="6060"/>
            <w:vAlign w:val="center"/>
            <w:tcMar>
              <w:top w:w="80" w:type="dxa"/>
              <w:start w:w="120" w:type="dxa"/>
              <w:bottom w:w="80" w:type="dxa"/>
              <w:end w:w="120" w:type="dxa"/>
            </w:tcMar>
          </w:tcPr>
          <w:p>
            <w:pPr>
              <w:suppressAutoHyphens w:val="true"/>
            </w:pPr>
            <w:r>
              <w:rPr>
                <w:sz w:val="18"/>
              </w:rPr>
              <w:t>src/wp4/job_w4_ppo.py</w:t>
            </w:r>
          </w:p>
        </w:tc>
      </w:tr>
      <w:tr>
        <w:tc>
          <w:tcPr>
            <w:tcW w:type="dxa" w:w="3300"/>
            <w:vAlign w:val="center"/>
            <w:tcMar>
              <w:top w:w="80" w:type="dxa"/>
              <w:start w:w="120" w:type="dxa"/>
              <w:bottom w:w="80" w:type="dxa"/>
              <w:end w:w="120" w:type="dxa"/>
            </w:tcMar>
          </w:tcPr>
          <w:p>
            <w:pPr>
              <w:suppressAutoHyphens w:val="true"/>
            </w:pPr>
            <w:r>
              <w:rPr>
                <w:sz w:val="18"/>
              </w:rPr>
              <w:t>WP5 evaluation</w:t>
            </w:r>
          </w:p>
        </w:tc>
        <w:tc>
          <w:tcPr>
            <w:tcW w:type="dxa" w:w="6060"/>
            <w:vAlign w:val="center"/>
            <w:tcMar>
              <w:top w:w="80" w:type="dxa"/>
              <w:start w:w="120" w:type="dxa"/>
              <w:bottom w:w="80" w:type="dxa"/>
              <w:end w:w="120" w:type="dxa"/>
            </w:tcMar>
          </w:tcPr>
          <w:p>
            <w:pPr>
              <w:suppressAutoHyphens w:val="true"/>
            </w:pPr>
            <w:r>
              <w:rPr>
                <w:sz w:val="18"/>
              </w:rPr>
              <w:t>src/wp5/job_w5_eval.py</w:t>
            </w:r>
          </w:p>
        </w:tc>
      </w:tr>
      <w:tr>
        <w:tc>
          <w:tcPr>
            <w:tcW w:type="dxa" w:w="3300"/>
            <w:vAlign w:val="center"/>
            <w:tcMar>
              <w:top w:w="80" w:type="dxa"/>
              <w:start w:w="120" w:type="dxa"/>
              <w:bottom w:w="80" w:type="dxa"/>
              <w:end w:w="120" w:type="dxa"/>
            </w:tcMar>
          </w:tcPr>
          <w:p>
            <w:pPr>
              <w:suppressAutoHyphens w:val="true"/>
            </w:pPr>
            <w:r>
              <w:rPr>
                <w:sz w:val="18"/>
              </w:rPr>
              <w:t>WP6 sweep</w:t>
            </w:r>
          </w:p>
        </w:tc>
        <w:tc>
          <w:tcPr>
            <w:tcW w:type="dxa" w:w="6060"/>
            <w:vAlign w:val="center"/>
            <w:tcMar>
              <w:top w:w="80" w:type="dxa"/>
              <w:start w:w="120" w:type="dxa"/>
              <w:bottom w:w="80" w:type="dxa"/>
              <w:end w:w="120" w:type="dxa"/>
            </w:tcMar>
          </w:tcPr>
          <w:p>
            <w:pPr>
              <w:suppressAutoHyphens w:val="true"/>
            </w:pPr>
            <w:r>
              <w:rPr>
                <w:sz w:val="18"/>
              </w:rPr>
              <w:t>src/wp6/job_w6_sweep_full.py</w:t>
            </w:r>
          </w:p>
        </w:tc>
      </w:tr>
    </w:tbl>
    <w:p>
      <w:pPr>
        <w:suppressAutoHyphens w:val="true"/>
      </w:pPr>
    </w:p>
    <w:p>
      <w:pPr>
        <w:pStyle w:val="Heading2"/>
        <w:suppressAutoHyphens w:val="true"/>
      </w:pPr>
      <w:r>
        <w:t>6.7 Complexity Analysis</w:t>
      </w:r>
    </w:p>
    <w:p>
      <w:pPr>
        <w:suppressAutoHyphens w:val="true"/>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pPr>
        <w:pStyle w:val="Heading2"/>
        <w:suppressAutoHyphens w:val="true"/>
      </w:pPr>
      <w:r>
        <w:t>6.8 Executable Example Commands</w:t>
      </w:r>
    </w:p>
    <w:p>
      <w:pPr>
        <w:pStyle w:val="Heading3"/>
        <w:suppressAutoHyphens w:val="true"/>
      </w:pPr>
      <w:r>
        <w:t>Commands</w:t>
      </w:r>
    </w:p>
    <w:p>
      <w:pPr>
        <w:suppressAutoHyphens w:val="true"/>
      </w:pPr>
      <w:r>
        <w:rPr>
          <w:rFonts w:ascii="Consolas" w:hAnsi="Consolas" w:eastAsia="Consolas"/>
          <w:sz w:val="18"/>
        </w:rPr>
        <w:t>python run.py --config config/w5_main.json</w:t>
      </w:r>
    </w:p>
    <w:p>
      <w:pPr>
        <w:suppressAutoHyphens w:val="true"/>
      </w:pPr>
      <w:r>
        <w:rPr>
          <w:rFonts w:ascii="Consolas" w:hAnsi="Consolas" w:eastAsia="Consolas"/>
          <w:sz w:val="18"/>
        </w:rPr>
        <w:t>python run.py --config config/w5_detector_full.json</w:t>
      </w:r>
    </w:p>
    <w:p>
      <w:pPr>
        <w:suppressAutoHyphens w:val="true"/>
      </w:pPr>
      <w:r>
        <w:rPr>
          <w:rFonts w:ascii="Consolas" w:hAnsi="Consolas" w:eastAsia="Consolas"/>
          <w:sz w:val="18"/>
        </w:rPr>
        <w:t>python run.py --config config/w5_eta_regime.json</w:t>
      </w:r>
    </w:p>
    <w:p>
      <w:pPr>
        <w:suppressAutoHyphens w:val="true"/>
      </w:pPr>
      <w:r>
        <w:rPr>
          <w:rFonts w:ascii="Consolas" w:hAnsi="Consolas" w:eastAsia="Consolas"/>
          <w:sz w:val="18"/>
        </w:rPr>
        <w:t>python run.py --config config/w5_misspec_mild.json</w:t>
      </w:r>
    </w:p>
    <w:p>
      <w:pPr>
        <w:suppressAutoHyphens w:val="true"/>
      </w:pPr>
      <w:r>
        <w:rPr>
          <w:rFonts w:ascii="Consolas" w:hAnsi="Consolas" w:eastAsia="Consolas"/>
          <w:sz w:val="18"/>
        </w:rPr>
        <w:t>python run.py --config config/w6_sweep_full.json</w:t>
      </w:r>
    </w:p>
    <w:p>
      <w:pPr>
        <w:suppressAutoHyphens w:val="true"/>
      </w:pPr>
      <w:r>
        <w:rPr>
          <w:rFonts w:ascii="Consolas" w:hAnsi="Consolas" w:eastAsia="Consolas"/>
          <w:sz w:val="18"/>
        </w:rPr>
        <w:t>python run.py --config config/w6_sweep_full.json --resume &lt;run_id&gt;</w:t>
      </w:r>
    </w:p>
    <w:p>
      <w:pPr>
        <w:suppressAutoHyphens w:val="true"/>
      </w:pPr>
    </w:p>
    <w:p>
      <w:pPr>
        <w:pStyle w:val="Heading1"/>
        <w:suppressAutoHyphens w:val="true"/>
      </w:pPr>
      <w:r>
        <w:t>7 Experimental Setup</w:t>
      </w:r>
    </w:p>
    <w:p>
      <w:pPr>
        <w:pStyle w:val="Heading2"/>
        <w:suppressAutoHyphens w:val="true"/>
      </w:pPr>
      <w:r>
        <w:t>7.1 Canonical Configuration Protocol</w:t>
      </w:r>
    </w:p>
    <w:p>
      <w:pPr>
        <w:suppressAutoHyphens w:val="true"/>
      </w:pPr>
      <w:r>
        <w:t>Canonical experiments are driven by JSON configs under `config/`. Shared parameters include mid0 = 100.0, tick_size = 0.01, dt = 0.2, baseline sigma_mid_ticks = 0.8, A = 5.0, k = 1.5, fee_bps = 0.2, and latency_steps = 1.</w:t>
      </w:r>
    </w:p>
    <w:p>
      <w:pPr>
        <w:pStyle w:val="Heading2"/>
        <w:suppressAutoHyphens w:val="true"/>
      </w:pPr>
      <w:r>
        <w:t>7.2 Data Generation and Preprocessing</w:t>
      </w:r>
    </w:p>
    <w:p>
      <w:pPr>
        <w:suppressAutoHyphens w:val="true"/>
      </w:pPr>
      <w:r>
        <w:t>Each run generates synthetic mid-price and regime paths, computes rolling realized volatility, and assigns detector labels. The main reported pipelines use causal rv_baseline labels.</w:t>
      </w:r>
    </w:p>
    <w:p>
      <w:pPr>
        <w:pStyle w:val="Heading2"/>
        <w:suppressAutoHyphens w:val="true"/>
      </w:pPr>
      <w:r>
        <w:t>7.3 Train/Test Split</w:t>
      </w:r>
    </w:p>
    <w:p>
      <w:pPr>
        <w:suppressAutoHyphens w:val="true"/>
      </w:pPr>
      <w:r>
        <w:t>The main out-of-sample evaluation and signal-informativeness sweep use a chronological 70/30 split on the exogenous series. PPO trains on the first segment and is evaluated deterministically on the held-out OOS segment.</w:t>
      </w:r>
    </w:p>
    <w:p>
      <w:pPr>
        <w:pStyle w:val="Heading2"/>
        <w:suppressAutoHyphens w:val="true"/>
      </w:pPr>
      <w:r>
        <w:t>7.4 Strategy Variants</w:t>
      </w:r>
    </w:p>
    <w:p>
      <w:pPr>
        <w:suppressAutoHyphens w:val="true"/>
      </w:pPr>
      <w:r>
        <w:t>Experiment 1, the Main Out-of-Sample Evaluation, evaluates naive, AS, ppo_aware, and ppo_blind. Experiment 2, the Five-Variant Signal Ablation, and Experiment 5, the Signal-Informativeness Sweep, use sigma_only, regime_only, combined, oracle_pure, and oracle_full.</w:t>
      </w:r>
    </w:p>
    <w:p>
      <w:pPr>
        <w:pStyle w:val="Heading2"/>
        <w:suppressAutoHyphens w:val="true"/>
      </w:pPr>
      <w:r>
        <w:t>7.5 Detector Variants</w:t>
      </w:r>
    </w:p>
    <w:tbl>
      <w:tblPr>
        <w:tblStyle w:val="TableGrid"/>
        <w:tblW w:type="dxa" w:w="9360"/>
        <w:tblLook w:firstColumn="1" w:firstRow="1" w:lastColumn="0" w:lastRow="0" w:noHBand="0" w:noVBand="1" w:val="04A0"/>
        <w:tblInd w:w="120" w:type="dxa"/>
        <w:tblLayout w:type="fixed"/>
      </w:tblPr>
      <w:tblGrid>
        <w:gridCol w:w="1800"/>
        <w:gridCol w:w="2500"/>
        <w:gridCol w:w="5060"/>
      </w:tblGrid>
      <w:tr>
        <w:tc>
          <w:tcPr>
            <w:tcW w:type="dxa" w:w="1800"/>
            <w:shd w:fill="F2F4F7"/>
            <w:vAlign w:val="center"/>
            <w:tcMar>
              <w:top w:w="80" w:type="dxa"/>
              <w:start w:w="120" w:type="dxa"/>
              <w:bottom w:w="80" w:type="dxa"/>
              <w:end w:w="120" w:type="dxa"/>
            </w:tcMar>
          </w:tcPr>
          <w:p>
            <w:pPr>
              <w:suppressAutoHyphens w:val="true"/>
            </w:pPr>
            <w:r>
              <w:rPr>
                <w:b/>
                <w:sz w:val="18"/>
              </w:rPr>
              <w:t>Detector</w:t>
            </w:r>
          </w:p>
        </w:tc>
        <w:tc>
          <w:tcPr>
            <w:tcW w:type="dxa" w:w="2500"/>
            <w:shd w:fill="F2F4F7"/>
            <w:vAlign w:val="center"/>
            <w:tcMar>
              <w:top w:w="80" w:type="dxa"/>
              <w:start w:w="120" w:type="dxa"/>
              <w:bottom w:w="80" w:type="dxa"/>
              <w:end w:w="120" w:type="dxa"/>
            </w:tcMar>
          </w:tcPr>
          <w:p>
            <w:pPr>
              <w:suppressAutoHyphens w:val="true"/>
            </w:pPr>
            <w:r>
              <w:rPr>
                <w:b/>
                <w:sz w:val="18"/>
              </w:rPr>
              <w:t>Role</w:t>
            </w:r>
          </w:p>
        </w:tc>
        <w:tc>
          <w:tcPr>
            <w:tcW w:type="dxa" w:w="5060"/>
            <w:shd w:fill="F2F4F7"/>
            <w:vAlign w:val="center"/>
            <w:tcMar>
              <w:top w:w="80" w:type="dxa"/>
              <w:start w:w="120" w:type="dxa"/>
              <w:bottom w:w="80" w:type="dxa"/>
              <w:end w:w="120" w:type="dxa"/>
            </w:tcMar>
          </w:tcPr>
          <w:p>
            <w:pPr>
              <w:suppressAutoHyphens w:val="true"/>
            </w:pPr>
            <w:r>
              <w:rPr>
                <w:b/>
                <w:sz w:val="18"/>
              </w:rPr>
              <w:t>Defense-safe caveat</w:t>
            </w:r>
          </w:p>
        </w:tc>
      </w:tr>
      <w:tr>
        <w:tc>
          <w:tcPr>
            <w:tcW w:type="dxa" w:w="1800"/>
            <w:vAlign w:val="center"/>
            <w:tcMar>
              <w:top w:w="80" w:type="dxa"/>
              <w:start w:w="120" w:type="dxa"/>
              <w:bottom w:w="80" w:type="dxa"/>
              <w:end w:w="120" w:type="dxa"/>
            </w:tcMar>
          </w:tcPr>
          <w:p>
            <w:pPr>
              <w:suppressAutoHyphens w:val="true"/>
            </w:pPr>
            <w:r>
              <w:rPr>
                <w:sz w:val="18"/>
              </w:rPr>
              <w:t>rv_baseline</w:t>
            </w:r>
          </w:p>
        </w:tc>
        <w:tc>
          <w:tcPr>
            <w:tcW w:type="dxa" w:w="2500"/>
            <w:vAlign w:val="center"/>
            <w:tcMar>
              <w:top w:w="80" w:type="dxa"/>
              <w:start w:w="120" w:type="dxa"/>
              <w:bottom w:w="80" w:type="dxa"/>
              <w:end w:w="120" w:type="dxa"/>
            </w:tcMar>
          </w:tcPr>
          <w:p>
            <w:pPr>
              <w:suppressAutoHyphens w:val="true"/>
            </w:pPr>
            <w:r>
              <w:rPr>
                <w:sz w:val="18"/>
              </w:rPr>
              <w:t>Main causal detector</w:t>
            </w:r>
          </w:p>
        </w:tc>
        <w:tc>
          <w:tcPr>
            <w:tcW w:type="dxa" w:w="5060"/>
            <w:vAlign w:val="center"/>
            <w:tcMar>
              <w:top w:w="80" w:type="dxa"/>
              <w:start w:w="120" w:type="dxa"/>
              <w:bottom w:w="80" w:type="dxa"/>
              <w:end w:w="120" w:type="dxa"/>
            </w:tcMar>
          </w:tcPr>
          <w:p>
            <w:pPr>
              <w:suppressAutoHyphens w:val="true"/>
            </w:pPr>
            <w:r>
              <w:rPr>
                <w:sz w:val="18"/>
              </w:rPr>
              <w:t>Rolling RV threshold; used in main WP4/WP5/WP6 pipelines.</w:t>
            </w:r>
          </w:p>
        </w:tc>
      </w:tr>
      <w:tr>
        <w:tc>
          <w:tcPr>
            <w:tcW w:type="dxa" w:w="1800"/>
            <w:vAlign w:val="center"/>
            <w:tcMar>
              <w:top w:w="80" w:type="dxa"/>
              <w:start w:w="120" w:type="dxa"/>
              <w:bottom w:w="80" w:type="dxa"/>
              <w:end w:w="120" w:type="dxa"/>
            </w:tcMar>
          </w:tcPr>
          <w:p>
            <w:pPr>
              <w:suppressAutoHyphens w:val="true"/>
            </w:pPr>
            <w:r>
              <w:rPr>
                <w:sz w:val="18"/>
              </w:rPr>
              <w:t>rv_dwell</w:t>
            </w:r>
          </w:p>
        </w:tc>
        <w:tc>
          <w:tcPr>
            <w:tcW w:type="dxa" w:w="2500"/>
            <w:vAlign w:val="center"/>
            <w:tcMar>
              <w:top w:w="80" w:type="dxa"/>
              <w:start w:w="120" w:type="dxa"/>
              <w:bottom w:w="80" w:type="dxa"/>
              <w:end w:w="120" w:type="dxa"/>
            </w:tcMar>
          </w:tcPr>
          <w:p>
            <w:pPr>
              <w:suppressAutoHyphens w:val="true"/>
            </w:pPr>
            <w:r>
              <w:rPr>
                <w:sz w:val="18"/>
              </w:rPr>
              <w:t>Auxiliary robustness detector</w:t>
            </w:r>
          </w:p>
        </w:tc>
        <w:tc>
          <w:tcPr>
            <w:tcW w:type="dxa" w:w="5060"/>
            <w:vAlign w:val="center"/>
            <w:tcMar>
              <w:top w:w="80" w:type="dxa"/>
              <w:start w:w="120" w:type="dxa"/>
              <w:bottom w:w="80" w:type="dxa"/>
              <w:end w:w="120" w:type="dxa"/>
            </w:tcMar>
          </w:tcPr>
          <w:p>
            <w:pPr>
              <w:suppressAutoHyphens w:val="true"/>
            </w:pPr>
            <w:r>
              <w:rPr>
                <w:sz w:val="18"/>
              </w:rPr>
              <w:t>Offline dwell smoothing; not the main causal detector.</w:t>
            </w:r>
          </w:p>
        </w:tc>
      </w:tr>
      <w:tr>
        <w:tc>
          <w:tcPr>
            <w:tcW w:type="dxa" w:w="1800"/>
            <w:vAlign w:val="center"/>
            <w:tcMar>
              <w:top w:w="80" w:type="dxa"/>
              <w:start w:w="120" w:type="dxa"/>
              <w:bottom w:w="80" w:type="dxa"/>
              <w:end w:w="120" w:type="dxa"/>
            </w:tcMar>
          </w:tcPr>
          <w:p>
            <w:pPr>
              <w:suppressAutoHyphens w:val="true"/>
            </w:pPr>
            <w:r>
              <w:rPr>
                <w:sz w:val="18"/>
              </w:rPr>
              <w:t>hmm</w:t>
            </w:r>
          </w:p>
        </w:tc>
        <w:tc>
          <w:tcPr>
            <w:tcW w:type="dxa" w:w="2500"/>
            <w:vAlign w:val="center"/>
            <w:tcMar>
              <w:top w:w="80" w:type="dxa"/>
              <w:start w:w="120" w:type="dxa"/>
              <w:bottom w:w="80" w:type="dxa"/>
              <w:end w:w="120" w:type="dxa"/>
            </w:tcMar>
          </w:tcPr>
          <w:p>
            <w:pPr>
              <w:suppressAutoHyphens w:val="true"/>
            </w:pPr>
            <w:r>
              <w:rPr>
                <w:sz w:val="18"/>
              </w:rPr>
              <w:t>Robustness detector</w:t>
            </w:r>
          </w:p>
        </w:tc>
        <w:tc>
          <w:tcPr>
            <w:tcW w:type="dxa" w:w="5060"/>
            <w:vAlign w:val="center"/>
            <w:tcMar>
              <w:top w:w="80" w:type="dxa"/>
              <w:start w:w="120" w:type="dxa"/>
              <w:bottom w:w="80" w:type="dxa"/>
              <w:end w:w="120" w:type="dxa"/>
            </w:tcMar>
          </w:tcPr>
          <w:p>
            <w:pPr>
              <w:suppressAutoHyphens w:val="true"/>
            </w:pPr>
            <w:r>
              <w:rPr>
                <w:sz w:val="18"/>
              </w:rPr>
              <w:t>Higher classification accuracy but no reliable PPO advantage.</w:t>
            </w:r>
          </w:p>
        </w:tc>
      </w:tr>
    </w:tbl>
    <w:p>
      <w:pPr>
        <w:suppressAutoHyphens w:val="true"/>
      </w:pPr>
    </w:p>
    <w:p>
      <w:pPr>
        <w:pStyle w:val="Heading2"/>
        <w:suppressAutoHyphens w:val="true"/>
      </w:pPr>
      <w:r>
        <w:t>7.6 PPO Hyperparameters</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pPr>
              <w:suppressAutoHyphens w:val="true"/>
            </w:pPr>
            <w:r>
              <w:rPr>
                <w:b/>
                <w:sz w:val="18"/>
              </w:rPr>
              <w:t>Hyperparameter</w:t>
            </w:r>
          </w:p>
        </w:tc>
        <w:tc>
          <w:tcPr>
            <w:tcW w:type="dxa" w:w="6360"/>
            <w:shd w:fill="F2F4F7"/>
            <w:vAlign w:val="center"/>
            <w:tcMar>
              <w:top w:w="80" w:type="dxa"/>
              <w:start w:w="120" w:type="dxa"/>
              <w:bottom w:w="80" w:type="dxa"/>
              <w:end w:w="120" w:type="dxa"/>
            </w:tcMar>
          </w:tcPr>
          <w:p>
            <w:pPr>
              <w:suppressAutoHyphens w:val="true"/>
            </w:pPr>
            <w:r>
              <w:rPr>
                <w:b/>
                <w:sz w:val="18"/>
              </w:rPr>
              <w:t>Canonical full-run value</w:t>
            </w:r>
          </w:p>
        </w:tc>
      </w:tr>
      <w:tr>
        <w:tc>
          <w:tcPr>
            <w:tcW w:type="dxa" w:w="3000"/>
            <w:vAlign w:val="center"/>
            <w:tcMar>
              <w:top w:w="80" w:type="dxa"/>
              <w:start w:w="120" w:type="dxa"/>
              <w:bottom w:w="80" w:type="dxa"/>
              <w:end w:w="120" w:type="dxa"/>
            </w:tcMar>
          </w:tcPr>
          <w:p>
            <w:pPr>
              <w:suppressAutoHyphens w:val="true"/>
            </w:pPr>
            <w:r>
              <w:rPr>
                <w:sz w:val="18"/>
              </w:rPr>
              <w:t>total_timesteps</w:t>
            </w:r>
          </w:p>
        </w:tc>
        <w:tc>
          <w:tcPr>
            <w:tcW w:type="dxa" w:w="6360"/>
            <w:vAlign w:val="center"/>
            <w:tcMar>
              <w:top w:w="80" w:type="dxa"/>
              <w:start w:w="120" w:type="dxa"/>
              <w:bottom w:w="80" w:type="dxa"/>
              <w:end w:w="120" w:type="dxa"/>
            </w:tcMar>
          </w:tcPr>
          <w:p>
            <w:pPr>
              <w:suppressAutoHyphens w:val="true"/>
            </w:pPr>
            <w:r>
              <w:rPr>
                <w:sz w:val="18"/>
              </w:rPr>
              <w:t>1,000,000</w:t>
            </w:r>
          </w:p>
        </w:tc>
      </w:tr>
      <w:tr>
        <w:tc>
          <w:tcPr>
            <w:tcW w:type="dxa" w:w="3000"/>
            <w:vAlign w:val="center"/>
            <w:tcMar>
              <w:top w:w="80" w:type="dxa"/>
              <w:start w:w="120" w:type="dxa"/>
              <w:bottom w:w="80" w:type="dxa"/>
              <w:end w:w="120" w:type="dxa"/>
            </w:tcMar>
          </w:tcPr>
          <w:p>
            <w:pPr>
              <w:suppressAutoHyphens w:val="true"/>
            </w:pPr>
            <w:r>
              <w:rPr>
                <w:sz w:val="18"/>
              </w:rPr>
              <w:t>learning_rate</w:t>
            </w:r>
          </w:p>
        </w:tc>
        <w:tc>
          <w:tcPr>
            <w:tcW w:type="dxa" w:w="6360"/>
            <w:vAlign w:val="center"/>
            <w:tcMar>
              <w:top w:w="80" w:type="dxa"/>
              <w:start w:w="120" w:type="dxa"/>
              <w:bottom w:w="80" w:type="dxa"/>
              <w:end w:w="120" w:type="dxa"/>
            </w:tcMar>
          </w:tcPr>
          <w:p>
            <w:pPr>
              <w:suppressAutoHyphens w:val="true"/>
            </w:pPr>
            <w:r>
              <w:rPr>
                <w:sz w:val="18"/>
              </w:rPr>
              <w:t>3e-4</w:t>
            </w:r>
          </w:p>
        </w:tc>
      </w:tr>
      <w:tr>
        <w:tc>
          <w:tcPr>
            <w:tcW w:type="dxa" w:w="3000"/>
            <w:vAlign w:val="center"/>
            <w:tcMar>
              <w:top w:w="80" w:type="dxa"/>
              <w:start w:w="120" w:type="dxa"/>
              <w:bottom w:w="80" w:type="dxa"/>
              <w:end w:w="120" w:type="dxa"/>
            </w:tcMar>
          </w:tcPr>
          <w:p>
            <w:pPr>
              <w:suppressAutoHyphens w:val="true"/>
            </w:pPr>
            <w:r>
              <w:rPr>
                <w:sz w:val="18"/>
              </w:rPr>
              <w:t>n_steps</w:t>
            </w:r>
          </w:p>
        </w:tc>
        <w:tc>
          <w:tcPr>
            <w:tcW w:type="dxa" w:w="6360"/>
            <w:vAlign w:val="center"/>
            <w:tcMar>
              <w:top w:w="80" w:type="dxa"/>
              <w:start w:w="120" w:type="dxa"/>
              <w:bottom w:w="80" w:type="dxa"/>
              <w:end w:w="120" w:type="dxa"/>
            </w:tcMar>
          </w:tcPr>
          <w:p>
            <w:pPr>
              <w:suppressAutoHyphens w:val="true"/>
            </w:pPr>
            <w:r>
              <w:rPr>
                <w:sz w:val="18"/>
              </w:rPr>
              <w:t>2048</w:t>
            </w:r>
          </w:p>
        </w:tc>
      </w:tr>
      <w:tr>
        <w:tc>
          <w:tcPr>
            <w:tcW w:type="dxa" w:w="3000"/>
            <w:vAlign w:val="center"/>
            <w:tcMar>
              <w:top w:w="80" w:type="dxa"/>
              <w:start w:w="120" w:type="dxa"/>
              <w:bottom w:w="80" w:type="dxa"/>
              <w:end w:w="120" w:type="dxa"/>
            </w:tcMar>
          </w:tcPr>
          <w:p>
            <w:pPr>
              <w:suppressAutoHyphens w:val="true"/>
            </w:pPr>
            <w:r>
              <w:rPr>
                <w:sz w:val="18"/>
              </w:rPr>
              <w:t>batch_size</w:t>
            </w:r>
          </w:p>
        </w:tc>
        <w:tc>
          <w:tcPr>
            <w:tcW w:type="dxa" w:w="6360"/>
            <w:vAlign w:val="center"/>
            <w:tcMar>
              <w:top w:w="80" w:type="dxa"/>
              <w:start w:w="120" w:type="dxa"/>
              <w:bottom w:w="80" w:type="dxa"/>
              <w:end w:w="120" w:type="dxa"/>
            </w:tcMar>
          </w:tcPr>
          <w:p>
            <w:pPr>
              <w:suppressAutoHyphens w:val="true"/>
            </w:pPr>
            <w:r>
              <w:rPr>
                <w:sz w:val="18"/>
              </w:rPr>
              <w:t>256</w:t>
            </w:r>
          </w:p>
        </w:tc>
      </w:tr>
      <w:tr>
        <w:tc>
          <w:tcPr>
            <w:tcW w:type="dxa" w:w="3000"/>
            <w:vAlign w:val="center"/>
            <w:tcMar>
              <w:top w:w="80" w:type="dxa"/>
              <w:start w:w="120" w:type="dxa"/>
              <w:bottom w:w="80" w:type="dxa"/>
              <w:end w:w="120" w:type="dxa"/>
            </w:tcMar>
          </w:tcPr>
          <w:p>
            <w:pPr>
              <w:suppressAutoHyphens w:val="true"/>
            </w:pPr>
            <w:r>
              <w:rPr>
                <w:sz w:val="18"/>
              </w:rPr>
              <w:t>n_epochs</w:t>
            </w:r>
          </w:p>
        </w:tc>
        <w:tc>
          <w:tcPr>
            <w:tcW w:type="dxa" w:w="6360"/>
            <w:vAlign w:val="center"/>
            <w:tcMar>
              <w:top w:w="80" w:type="dxa"/>
              <w:start w:w="120" w:type="dxa"/>
              <w:bottom w:w="80" w:type="dxa"/>
              <w:end w:w="120" w:type="dxa"/>
            </w:tcMar>
          </w:tcPr>
          <w:p>
            <w:pPr>
              <w:suppressAutoHyphens w:val="true"/>
            </w:pPr>
            <w:r>
              <w:rPr>
                <w:sz w:val="18"/>
              </w:rPr>
              <w:t>10</w:t>
            </w:r>
          </w:p>
        </w:tc>
      </w:tr>
      <w:tr>
        <w:tc>
          <w:tcPr>
            <w:tcW w:type="dxa" w:w="3000"/>
            <w:vAlign w:val="center"/>
            <w:tcMar>
              <w:top w:w="80" w:type="dxa"/>
              <w:start w:w="120" w:type="dxa"/>
              <w:bottom w:w="80" w:type="dxa"/>
              <w:end w:w="120" w:type="dxa"/>
            </w:tcMar>
          </w:tcPr>
          <w:p>
            <w:pPr>
              <w:suppressAutoHyphens w:val="true"/>
            </w:pPr>
            <w:r>
              <w:rPr>
                <w:sz w:val="18"/>
              </w:rPr>
              <w:t>gamma</w:t>
            </w:r>
          </w:p>
        </w:tc>
        <w:tc>
          <w:tcPr>
            <w:tcW w:type="dxa" w:w="6360"/>
            <w:vAlign w:val="center"/>
            <w:tcMar>
              <w:top w:w="80" w:type="dxa"/>
              <w:start w:w="120" w:type="dxa"/>
              <w:bottom w:w="80" w:type="dxa"/>
              <w:end w:w="120" w:type="dxa"/>
            </w:tcMar>
          </w:tcPr>
          <w:p>
            <w:pPr>
              <w:suppressAutoHyphens w:val="true"/>
            </w:pPr>
            <w:r>
              <w:rPr>
                <w:sz w:val="18"/>
              </w:rPr>
              <w:t>0.999</w:t>
            </w:r>
          </w:p>
        </w:tc>
      </w:tr>
      <w:tr>
        <w:tc>
          <w:tcPr>
            <w:tcW w:type="dxa" w:w="3000"/>
            <w:vAlign w:val="center"/>
            <w:tcMar>
              <w:top w:w="80" w:type="dxa"/>
              <w:start w:w="120" w:type="dxa"/>
              <w:bottom w:w="80" w:type="dxa"/>
              <w:end w:w="120" w:type="dxa"/>
            </w:tcMar>
          </w:tcPr>
          <w:p>
            <w:pPr>
              <w:suppressAutoHyphens w:val="true"/>
            </w:pPr>
            <w:r>
              <w:rPr>
                <w:sz w:val="18"/>
              </w:rPr>
              <w:t>clip_range</w:t>
            </w:r>
          </w:p>
        </w:tc>
        <w:tc>
          <w:tcPr>
            <w:tcW w:type="dxa" w:w="6360"/>
            <w:vAlign w:val="center"/>
            <w:tcMar>
              <w:top w:w="80" w:type="dxa"/>
              <w:start w:w="120" w:type="dxa"/>
              <w:bottom w:w="80" w:type="dxa"/>
              <w:end w:w="120" w:type="dxa"/>
            </w:tcMar>
          </w:tcPr>
          <w:p>
            <w:pPr>
              <w:suppressAutoHyphens w:val="true"/>
            </w:pPr>
            <w:r>
              <w:rPr>
                <w:sz w:val="18"/>
              </w:rPr>
              <w:t>0.2</w:t>
            </w:r>
          </w:p>
        </w:tc>
      </w:tr>
      <w:tr>
        <w:tc>
          <w:tcPr>
            <w:tcW w:type="dxa" w:w="3000"/>
            <w:vAlign w:val="center"/>
            <w:tcMar>
              <w:top w:w="80" w:type="dxa"/>
              <w:start w:w="120" w:type="dxa"/>
              <w:bottom w:w="80" w:type="dxa"/>
              <w:end w:w="120" w:type="dxa"/>
            </w:tcMar>
          </w:tcPr>
          <w:p>
            <w:pPr>
              <w:suppressAutoHyphens w:val="true"/>
            </w:pPr>
            <w:r>
              <w:rPr>
                <w:sz w:val="18"/>
              </w:rPr>
              <w:t>ent_coef</w:t>
            </w:r>
          </w:p>
        </w:tc>
        <w:tc>
          <w:tcPr>
            <w:tcW w:type="dxa" w:w="6360"/>
            <w:vAlign w:val="center"/>
            <w:tcMar>
              <w:top w:w="80" w:type="dxa"/>
              <w:start w:w="120" w:type="dxa"/>
              <w:bottom w:w="80" w:type="dxa"/>
              <w:end w:w="120" w:type="dxa"/>
            </w:tcMar>
          </w:tcPr>
          <w:p>
            <w:pPr>
              <w:suppressAutoHyphens w:val="true"/>
            </w:pPr>
            <w:r>
              <w:rPr>
                <w:sz w:val="18"/>
              </w:rPr>
              <w:t>0.01 for full WP5/WP6 runs</w:t>
            </w:r>
          </w:p>
        </w:tc>
      </w:tr>
    </w:tbl>
    <w:p>
      <w:pPr>
        <w:suppressAutoHyphens w:val="true"/>
      </w:pPr>
    </w:p>
    <w:p>
      <w:pPr>
        <w:pStyle w:val="Heading2"/>
        <w:suppressAutoHyphens w:val="true"/>
      </w:pPr>
      <w:r>
        <w:t>7.7 Protected Evidence and No-Rerun Policy</w:t>
      </w:r>
    </w:p>
    <w:p>
      <w:pPr>
        <w:suppressAutoHyphens w:val="true"/>
      </w:pPr>
      <w:r>
        <w:t>The thesis_33 adaptation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pPr>
        <w:pStyle w:val="Heading1"/>
        <w:suppressAutoHyphens w:val="true"/>
      </w:pPr>
      <w:r>
        <w:t>8 Results and Visualisation</w:t>
      </w:r>
    </w:p>
    <w:p>
      <w:pPr>
        <w:pStyle w:val="Heading2"/>
        <w:suppressAutoHyphens w:val="true"/>
      </w:pPr>
      <w:r>
        <w:t>8.1 Experiment 1: Main Out-of-Sample Evaluation</w:t>
      </w:r>
    </w:p>
    <w:p>
      <w:pPr>
        <w:suppressAutoHyphens w:val="true"/>
      </w:pPr>
      <w:r>
        <w:t>Experiment 1, the 20-seed Main Out-of-Sample Evaluation, shows that PPO variants produce much higher risk-adjusted performance than the fixed-spread and AS baselines. AS can produce higher raw equity, but with substantially larger inventory exposure.</w:t>
      </w:r>
    </w:p>
    <w:tbl>
      <w:tblPr>
        <w:tblStyle w:val="TableGrid"/>
        <w:tblW w:type="dxa" w:w="9360"/>
        <w:tblLook w:firstColumn="1" w:firstRow="1" w:lastColumn="0" w:lastRow="0" w:noHBand="0" w:noVBand="1" w:val="04A0"/>
        <w:tblInd w:w="120" w:type="dxa"/>
        <w:tblLayout w:type="fixed"/>
      </w:tblPr>
      <w:tblGrid>
        <w:gridCol w:w="1900"/>
        <w:gridCol w:w="1800"/>
        <w:gridCol w:w="1900"/>
        <w:gridCol w:w="1800"/>
        <w:gridCol w:w="1960"/>
      </w:tblGrid>
      <w:tr>
        <w:tc>
          <w:tcPr>
            <w:tcW w:type="dxa" w:w="1900"/>
            <w:shd w:fill="F2F4F7"/>
            <w:vAlign w:val="center"/>
            <w:tcMar>
              <w:top w:w="80" w:type="dxa"/>
              <w:start w:w="120" w:type="dxa"/>
              <w:bottom w:w="80" w:type="dxa"/>
              <w:end w:w="120" w:type="dxa"/>
            </w:tcMar>
          </w:tcPr>
          <w:p>
            <w:pPr>
              <w:suppressAutoHyphens w:val="true"/>
            </w:pPr>
            <w:r>
              <w:rPr>
                <w:b/>
                <w:sz w:val="18"/>
              </w:rPr>
              <w:t>Strategy</w:t>
            </w:r>
          </w:p>
        </w:tc>
        <w:tc>
          <w:tcPr>
            <w:tcW w:type="dxa" w:w="1800"/>
            <w:shd w:fill="F2F4F7"/>
            <w:vAlign w:val="center"/>
            <w:tcMar>
              <w:top w:w="80" w:type="dxa"/>
              <w:start w:w="120" w:type="dxa"/>
              <w:bottom w:w="80" w:type="dxa"/>
              <w:end w:w="120" w:type="dxa"/>
            </w:tcMar>
          </w:tcPr>
          <w:p>
            <w:pPr>
              <w:suppressAutoHyphens w:val="true"/>
            </w:pPr>
            <w:r>
              <w:rPr>
                <w:b/>
                <w:sz w:val="18"/>
              </w:rPr>
              <w:t>Sharpe-like</w:t>
            </w:r>
          </w:p>
        </w:tc>
        <w:tc>
          <w:tcPr>
            <w:tcW w:type="dxa" w:w="1900"/>
            <w:shd w:fill="F2F4F7"/>
            <w:vAlign w:val="center"/>
            <w:tcMar>
              <w:top w:w="80" w:type="dxa"/>
              <w:start w:w="120" w:type="dxa"/>
              <w:bottom w:w="80" w:type="dxa"/>
              <w:end w:w="120" w:type="dxa"/>
            </w:tcMar>
          </w:tcPr>
          <w:p>
            <w:pPr>
              <w:suppressAutoHyphens w:val="true"/>
            </w:pPr>
            <w:r>
              <w:rPr>
                <w:b/>
                <w:sz w:val="18"/>
              </w:rPr>
              <w:t>Final equity</w:t>
            </w:r>
          </w:p>
        </w:tc>
        <w:tc>
          <w:tcPr>
            <w:tcW w:type="dxa" w:w="1800"/>
            <w:shd w:fill="F2F4F7"/>
            <w:vAlign w:val="center"/>
            <w:tcMar>
              <w:top w:w="80" w:type="dxa"/>
              <w:start w:w="120" w:type="dxa"/>
              <w:bottom w:w="80" w:type="dxa"/>
              <w:end w:w="120" w:type="dxa"/>
            </w:tcMar>
          </w:tcPr>
          <w:p>
            <w:pPr>
              <w:suppressAutoHyphens w:val="true"/>
            </w:pPr>
            <w:r>
              <w:rPr>
                <w:b/>
                <w:sz w:val="18"/>
              </w:rPr>
              <w:t>inv_p99</w:t>
            </w:r>
          </w:p>
        </w:tc>
        <w:tc>
          <w:tcPr>
            <w:tcW w:type="dxa" w:w="1960"/>
            <w:shd w:fill="F2F4F7"/>
            <w:vAlign w:val="center"/>
            <w:tcMar>
              <w:top w:w="80" w:type="dxa"/>
              <w:start w:w="120" w:type="dxa"/>
              <w:bottom w:w="80" w:type="dxa"/>
              <w:end w:w="120" w:type="dxa"/>
            </w:tcMar>
          </w:tcPr>
          <w:p>
            <w:pPr>
              <w:suppressAutoHyphens w:val="true"/>
            </w:pPr>
            <w:r>
              <w:rPr>
                <w:b/>
                <w:sz w:val="18"/>
              </w:rPr>
              <w:t>Fill rate</w:t>
            </w:r>
          </w:p>
        </w:tc>
      </w:tr>
      <w:tr>
        <w:tc>
          <w:tcPr>
            <w:tcW w:type="dxa" w:w="1900"/>
            <w:vAlign w:val="center"/>
            <w:tcMar>
              <w:top w:w="80" w:type="dxa"/>
              <w:start w:w="120" w:type="dxa"/>
              <w:bottom w:w="80" w:type="dxa"/>
              <w:end w:w="120" w:type="dxa"/>
            </w:tcMar>
          </w:tcPr>
          <w:p>
            <w:pPr>
              <w:suppressAutoHyphens w:val="true"/>
            </w:pPr>
            <w:r>
              <w:rPr>
                <w:sz w:val="18"/>
              </w:rPr>
              <w:t>ppo_aware</w:t>
            </w:r>
          </w:p>
        </w:tc>
        <w:tc>
          <w:tcPr>
            <w:tcW w:type="dxa" w:w="1800"/>
            <w:vAlign w:val="center"/>
            <w:tcMar>
              <w:top w:w="80" w:type="dxa"/>
              <w:start w:w="120" w:type="dxa"/>
              <w:bottom w:w="80" w:type="dxa"/>
              <w:end w:w="120" w:type="dxa"/>
            </w:tcMar>
          </w:tcPr>
          <w:p>
            <w:pPr>
              <w:suppressAutoHyphens w:val="true"/>
            </w:pPr>
            <w:r>
              <w:rPr>
                <w:sz w:val="18"/>
              </w:rPr>
              <w:t>0.715</w:t>
            </w:r>
          </w:p>
        </w:tc>
        <w:tc>
          <w:tcPr>
            <w:tcW w:type="dxa" w:w="1900"/>
            <w:vAlign w:val="center"/>
            <w:tcMar>
              <w:top w:w="80" w:type="dxa"/>
              <w:start w:w="120" w:type="dxa"/>
              <w:bottom w:w="80" w:type="dxa"/>
              <w:end w:w="120" w:type="dxa"/>
            </w:tcMar>
          </w:tcPr>
          <w:p>
            <w:pPr>
              <w:suppressAutoHyphens w:val="true"/>
            </w:pPr>
            <w:r>
              <w:rPr>
                <w:sz w:val="18"/>
              </w:rPr>
              <w:t>4.10</w:t>
            </w:r>
          </w:p>
        </w:tc>
        <w:tc>
          <w:tcPr>
            <w:tcW w:type="dxa" w:w="1800"/>
            <w:vAlign w:val="center"/>
            <w:tcMar>
              <w:top w:w="80" w:type="dxa"/>
              <w:start w:w="120" w:type="dxa"/>
              <w:bottom w:w="80" w:type="dxa"/>
              <w:end w:w="120" w:type="dxa"/>
            </w:tcMar>
          </w:tcPr>
          <w:p>
            <w:pPr>
              <w:suppressAutoHyphens w:val="true"/>
            </w:pPr>
            <w:r>
              <w:rPr>
                <w:sz w:val="18"/>
              </w:rPr>
              <w:t>2.00</w:t>
            </w:r>
          </w:p>
        </w:tc>
        <w:tc>
          <w:tcPr>
            <w:tcW w:type="dxa" w:w="1960"/>
            <w:vAlign w:val="center"/>
            <w:tcMar>
              <w:top w:w="80" w:type="dxa"/>
              <w:start w:w="120" w:type="dxa"/>
              <w:bottom w:w="80" w:type="dxa"/>
              <w:end w:w="120" w:type="dxa"/>
            </w:tcMar>
          </w:tcPr>
          <w:p>
            <w:pPr>
              <w:suppressAutoHyphens w:val="true"/>
            </w:pPr>
            <w:r>
              <w:rPr>
                <w:sz w:val="18"/>
              </w:rPr>
              <w:t>0.236</w:t>
            </w:r>
          </w:p>
        </w:tc>
      </w:tr>
      <w:tr>
        <w:tc>
          <w:tcPr>
            <w:tcW w:type="dxa" w:w="1900"/>
            <w:vAlign w:val="center"/>
            <w:tcMar>
              <w:top w:w="80" w:type="dxa"/>
              <w:start w:w="120" w:type="dxa"/>
              <w:bottom w:w="80" w:type="dxa"/>
              <w:end w:w="120" w:type="dxa"/>
            </w:tcMar>
          </w:tcPr>
          <w:p>
            <w:pPr>
              <w:suppressAutoHyphens w:val="true"/>
            </w:pPr>
            <w:r>
              <w:rPr>
                <w:sz w:val="18"/>
              </w:rPr>
              <w:t>ppo_blind</w:t>
            </w:r>
          </w:p>
        </w:tc>
        <w:tc>
          <w:tcPr>
            <w:tcW w:type="dxa" w:w="1800"/>
            <w:vAlign w:val="center"/>
            <w:tcMar>
              <w:top w:w="80" w:type="dxa"/>
              <w:start w:w="120" w:type="dxa"/>
              <w:bottom w:w="80" w:type="dxa"/>
              <w:end w:w="120" w:type="dxa"/>
            </w:tcMar>
          </w:tcPr>
          <w:p>
            <w:pPr>
              <w:suppressAutoHyphens w:val="true"/>
            </w:pPr>
            <w:r>
              <w:rPr>
                <w:sz w:val="18"/>
              </w:rPr>
              <w:t>0.740</w:t>
            </w:r>
          </w:p>
        </w:tc>
        <w:tc>
          <w:tcPr>
            <w:tcW w:type="dxa" w:w="1900"/>
            <w:vAlign w:val="center"/>
            <w:tcMar>
              <w:top w:w="80" w:type="dxa"/>
              <w:start w:w="120" w:type="dxa"/>
              <w:bottom w:w="80" w:type="dxa"/>
              <w:end w:w="120" w:type="dxa"/>
            </w:tcMar>
          </w:tcPr>
          <w:p>
            <w:pPr>
              <w:suppressAutoHyphens w:val="true"/>
            </w:pPr>
            <w:r>
              <w:rPr>
                <w:sz w:val="18"/>
              </w:rPr>
              <w:t>4.42</w:t>
            </w:r>
          </w:p>
        </w:tc>
        <w:tc>
          <w:tcPr>
            <w:tcW w:type="dxa" w:w="1800"/>
            <w:vAlign w:val="center"/>
            <w:tcMar>
              <w:top w:w="80" w:type="dxa"/>
              <w:start w:w="120" w:type="dxa"/>
              <w:bottom w:w="80" w:type="dxa"/>
              <w:end w:w="120" w:type="dxa"/>
            </w:tcMar>
          </w:tcPr>
          <w:p>
            <w:pPr>
              <w:suppressAutoHyphens w:val="true"/>
            </w:pPr>
            <w:r>
              <w:rPr>
                <w:sz w:val="18"/>
              </w:rPr>
              <w:t>2.05</w:t>
            </w:r>
          </w:p>
        </w:tc>
        <w:tc>
          <w:tcPr>
            <w:tcW w:type="dxa" w:w="1960"/>
            <w:vAlign w:val="center"/>
            <w:tcMar>
              <w:top w:w="80" w:type="dxa"/>
              <w:start w:w="120" w:type="dxa"/>
              <w:bottom w:w="80" w:type="dxa"/>
              <w:end w:w="120" w:type="dxa"/>
            </w:tcMar>
          </w:tcPr>
          <w:p>
            <w:pPr>
              <w:suppressAutoHyphens w:val="true"/>
            </w:pPr>
            <w:r>
              <w:rPr>
                <w:sz w:val="18"/>
              </w:rPr>
              <w:t>0.232</w:t>
            </w:r>
          </w:p>
        </w:tc>
      </w:tr>
      <w:tr>
        <w:tc>
          <w:tcPr>
            <w:tcW w:type="dxa" w:w="1900"/>
            <w:vAlign w:val="center"/>
            <w:tcMar>
              <w:top w:w="80" w:type="dxa"/>
              <w:start w:w="120" w:type="dxa"/>
              <w:bottom w:w="80" w:type="dxa"/>
              <w:end w:w="120" w:type="dxa"/>
            </w:tcMar>
          </w:tcPr>
          <w:p>
            <w:pPr>
              <w:suppressAutoHyphens w:val="true"/>
            </w:pPr>
            <w:r>
              <w:rPr>
                <w:sz w:val="18"/>
              </w:rPr>
              <w:t>AS</w:t>
            </w:r>
          </w:p>
        </w:tc>
        <w:tc>
          <w:tcPr>
            <w:tcW w:type="dxa" w:w="1800"/>
            <w:vAlign w:val="center"/>
            <w:tcMar>
              <w:top w:w="80" w:type="dxa"/>
              <w:start w:w="120" w:type="dxa"/>
              <w:bottom w:w="80" w:type="dxa"/>
              <w:end w:w="120" w:type="dxa"/>
            </w:tcMar>
          </w:tcPr>
          <w:p>
            <w:pPr>
              <w:suppressAutoHyphens w:val="true"/>
            </w:pPr>
            <w:r>
              <w:rPr>
                <w:sz w:val="18"/>
              </w:rPr>
              <w:t>0.105</w:t>
            </w:r>
          </w:p>
        </w:tc>
        <w:tc>
          <w:tcPr>
            <w:tcW w:type="dxa" w:w="1900"/>
            <w:vAlign w:val="center"/>
            <w:tcMar>
              <w:top w:w="80" w:type="dxa"/>
              <w:start w:w="120" w:type="dxa"/>
              <w:bottom w:w="80" w:type="dxa"/>
              <w:end w:w="120" w:type="dxa"/>
            </w:tcMar>
          </w:tcPr>
          <w:p>
            <w:pPr>
              <w:suppressAutoHyphens w:val="true"/>
            </w:pPr>
            <w:r>
              <w:rPr>
                <w:sz w:val="18"/>
              </w:rPr>
              <w:t>5.05</w:t>
            </w:r>
          </w:p>
        </w:tc>
        <w:tc>
          <w:tcPr>
            <w:tcW w:type="dxa" w:w="1800"/>
            <w:vAlign w:val="center"/>
            <w:tcMar>
              <w:top w:w="80" w:type="dxa"/>
              <w:start w:w="120" w:type="dxa"/>
              <w:bottom w:w="80" w:type="dxa"/>
              <w:end w:w="120" w:type="dxa"/>
            </w:tcMar>
          </w:tcPr>
          <w:p>
            <w:pPr>
              <w:suppressAutoHyphens w:val="true"/>
            </w:pPr>
            <w:r>
              <w:rPr>
                <w:sz w:val="18"/>
              </w:rPr>
              <w:t>29.95</w:t>
            </w:r>
          </w:p>
        </w:tc>
        <w:tc>
          <w:tcPr>
            <w:tcW w:type="dxa" w:w="1960"/>
            <w:vAlign w:val="center"/>
            <w:tcMar>
              <w:top w:w="80" w:type="dxa"/>
              <w:start w:w="120" w:type="dxa"/>
              <w:bottom w:w="80" w:type="dxa"/>
              <w:end w:w="120" w:type="dxa"/>
            </w:tcMar>
          </w:tcPr>
          <w:p>
            <w:pPr>
              <w:suppressAutoHyphens w:val="true"/>
            </w:pPr>
            <w:r>
              <w:rPr>
                <w:sz w:val="18"/>
              </w:rPr>
              <w:t>0.444</w:t>
            </w:r>
          </w:p>
        </w:tc>
      </w:tr>
      <w:tr>
        <w:tc>
          <w:tcPr>
            <w:tcW w:type="dxa" w:w="1900"/>
            <w:vAlign w:val="center"/>
            <w:tcMar>
              <w:top w:w="80" w:type="dxa"/>
              <w:start w:w="120" w:type="dxa"/>
              <w:bottom w:w="80" w:type="dxa"/>
              <w:end w:w="120" w:type="dxa"/>
            </w:tcMar>
          </w:tcPr>
          <w:p>
            <w:pPr>
              <w:suppressAutoHyphens w:val="true"/>
            </w:pPr>
            <w:r>
              <w:rPr>
                <w:sz w:val="18"/>
              </w:rPr>
              <w:t>naive</w:t>
            </w:r>
          </w:p>
        </w:tc>
        <w:tc>
          <w:tcPr>
            <w:tcW w:type="dxa" w:w="1800"/>
            <w:vAlign w:val="center"/>
            <w:tcMar>
              <w:top w:w="80" w:type="dxa"/>
              <w:start w:w="120" w:type="dxa"/>
              <w:bottom w:w="80" w:type="dxa"/>
              <w:end w:w="120" w:type="dxa"/>
            </w:tcMar>
          </w:tcPr>
          <w:p>
            <w:pPr>
              <w:suppressAutoHyphens w:val="true"/>
            </w:pPr>
            <w:r>
              <w:rPr>
                <w:sz w:val="18"/>
              </w:rPr>
              <w:t>0.127</w:t>
            </w:r>
          </w:p>
        </w:tc>
        <w:tc>
          <w:tcPr>
            <w:tcW w:type="dxa" w:w="1900"/>
            <w:vAlign w:val="center"/>
            <w:tcMar>
              <w:top w:w="80" w:type="dxa"/>
              <w:start w:w="120" w:type="dxa"/>
              <w:bottom w:w="80" w:type="dxa"/>
              <w:end w:w="120" w:type="dxa"/>
            </w:tcMar>
          </w:tcPr>
          <w:p>
            <w:pPr>
              <w:suppressAutoHyphens w:val="true"/>
            </w:pPr>
            <w:r>
              <w:rPr>
                <w:sz w:val="18"/>
              </w:rPr>
              <w:t>4.49</w:t>
            </w:r>
          </w:p>
        </w:tc>
        <w:tc>
          <w:tcPr>
            <w:tcW w:type="dxa" w:w="1800"/>
            <w:vAlign w:val="center"/>
            <w:tcMar>
              <w:top w:w="80" w:type="dxa"/>
              <w:start w:w="120" w:type="dxa"/>
              <w:bottom w:w="80" w:type="dxa"/>
              <w:end w:w="120" w:type="dxa"/>
            </w:tcMar>
          </w:tcPr>
          <w:p>
            <w:pPr>
              <w:suppressAutoHyphens w:val="true"/>
            </w:pPr>
            <w:r>
              <w:rPr>
                <w:sz w:val="18"/>
              </w:rPr>
              <w:t>21.20</w:t>
            </w:r>
          </w:p>
        </w:tc>
        <w:tc>
          <w:tcPr>
            <w:tcW w:type="dxa" w:w="1960"/>
            <w:vAlign w:val="center"/>
            <w:tcMar>
              <w:top w:w="80" w:type="dxa"/>
              <w:start w:w="120" w:type="dxa"/>
              <w:bottom w:w="80" w:type="dxa"/>
              <w:end w:w="120" w:type="dxa"/>
            </w:tcMar>
          </w:tcPr>
          <w:p>
            <w:pPr>
              <w:suppressAutoHyphens w:val="true"/>
            </w:pPr>
            <w:r>
              <w:rPr>
                <w:sz w:val="18"/>
              </w:rPr>
              <w:t>0.119</w:t>
            </w:r>
          </w:p>
        </w:tc>
      </w:tr>
    </w:tbl>
    <w:p>
      <w:pPr>
        <w:suppressAutoHyphens w:val="true"/>
      </w:pPr>
    </w:p>
    <w:p>
      <w:pPr>
        <w:suppressAutoHyphens w:val="true"/>
      </w:pPr>
      <w:r>
        <w:t>AS has higher raw equity but carries substantially larger inventory tail risk; therefore the main comparison is risk-adjusted performance and inventory control, not raw equity alone.</w:t>
      </w:r>
    </w:p>
    <w:p>
      <w:pPr>
        <w:keepNext/>
        <w:keepLines/>
        <w:jc w:val="center"/>
        <w:suppressAutoHyphens w:val="true"/>
      </w:pPr>
      <w:r>
        <w:drawing>
          <wp:inline xmlns:a="http://schemas.openxmlformats.org/drawingml/2006/main" xmlns:pic="http://schemas.openxmlformats.org/drawingml/2006/picture">
            <wp:extent cx="5257800" cy="2060489"/>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257800" cy="2060489"/>
                    </a:xfrm>
                    <a:prstGeom prst="rect"/>
                  </pic:spPr>
                </pic:pic>
              </a:graphicData>
            </a:graphic>
          </wp:inline>
        </w:drawing>
      </w:r>
    </w:p>
    <w:p>
      <w:pPr>
        <w:pStyle w:val="Caption"/>
        <w:keepLines/>
        <w:jc w:val="center"/>
        <w:suppressAutoHyphens w:val="true"/>
      </w:pPr>
      <w:r>
        <w:t>Figure 8.1. Experiment 1 main OOS results: PPO variants dominate naive and AS on risk-adjusted performance, while AS carries much larger inventory tail risk.</w:t>
      </w:r>
    </w:p>
    <w:p>
      <w:pPr>
        <w:keepNext/>
        <w:keepLines/>
        <w:jc w:val="center"/>
        <w:suppressAutoHyphens w:val="true"/>
      </w:pPr>
      <w:r>
        <w:drawing>
          <wp:inline xmlns:a="http://schemas.openxmlformats.org/drawingml/2006/main" xmlns:pic="http://schemas.openxmlformats.org/drawingml/2006/picture">
            <wp:extent cx="4892040" cy="220980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2"/>
                    <a:stretch>
                      <a:fillRect/>
                    </a:stretch>
                  </pic:blipFill>
                  <pic:spPr>
                    <a:xfrm>
                      <a:off x="0" y="0"/>
                      <a:ext cx="4892040" cy="2209800"/>
                    </a:xfrm>
                    <a:prstGeom prst="rect"/>
                  </pic:spPr>
                </pic:pic>
              </a:graphicData>
            </a:graphic>
          </wp:inline>
        </w:drawing>
      </w:r>
    </w:p>
    <w:p>
      <w:pPr>
        <w:pStyle w:val="Caption"/>
        <w:keepLines/>
        <w:jc w:val="center"/>
        <w:suppressAutoHyphens w:val="true"/>
      </w:pPr>
      <w:r>
        <w:t>Figure 8.2. Seed-paired PPO-aware versus PPO-blind comparison: the estimated regime channel does not create a robust Sharpe-like advantage.</w:t>
      </w:r>
    </w:p>
    <w:p>
      <w:pPr>
        <w:suppressAutoHyphens w:val="true"/>
      </w:pPr>
      <w:r>
        <w:t>The paired-seed view shows that the aware policy does not dominate the blind policy seed by seed. The equity panel even favors the blind policy in the canonical paired test.</w:t>
      </w:r>
    </w:p>
    <w:p>
      <w:pPr>
        <w:suppressAutoHyphens w:val="true"/>
      </w:pPr>
    </w:p>
    <w:p>
      <w:pPr>
        <w:pStyle w:val="Heading2"/>
        <w:suppressAutoHyphens w:val="true"/>
      </w:pPr>
      <w:r>
        <w:t>8.2 Five-Variant Ablation</w:t>
      </w:r>
    </w:p>
    <w:tbl>
      <w:tblPr>
        <w:tblStyle w:val="TableGrid"/>
        <w:tblW w:type="dxa" w:w="9360"/>
        <w:tblLook w:firstColumn="1" w:firstRow="1" w:lastColumn="0" w:lastRow="0" w:noHBand="0" w:noVBand="1" w:val="04A0"/>
        <w:tblInd w:w="120" w:type="dxa"/>
        <w:tblLayout w:type="fixed"/>
      </w:tblPr>
      <w:tblGrid>
        <w:gridCol w:w="1800"/>
        <w:gridCol w:w="3000"/>
        <w:gridCol w:w="1500"/>
        <w:gridCol w:w="1500"/>
        <w:gridCol w:w="1560"/>
      </w:tblGrid>
      <w:tr>
        <w:tc>
          <w:tcPr>
            <w:tcW w:type="dxa" w:w="1800"/>
            <w:shd w:fill="F2F4F7"/>
            <w:vAlign w:val="center"/>
            <w:tcMar>
              <w:top w:w="80" w:type="dxa"/>
              <w:start w:w="120" w:type="dxa"/>
              <w:bottom w:w="80" w:type="dxa"/>
              <w:end w:w="120" w:type="dxa"/>
            </w:tcMar>
          </w:tcPr>
          <w:p>
            <w:pPr>
              <w:suppressAutoHyphens w:val="true"/>
            </w:pPr>
            <w:r>
              <w:rPr>
                <w:b/>
                <w:sz w:val="18"/>
              </w:rPr>
              <w:t>Variant</w:t>
            </w:r>
          </w:p>
        </w:tc>
        <w:tc>
          <w:tcPr>
            <w:tcW w:type="dxa" w:w="3000"/>
            <w:shd w:fill="F2F4F7"/>
            <w:vAlign w:val="center"/>
            <w:tcMar>
              <w:top w:w="80" w:type="dxa"/>
              <w:start w:w="120" w:type="dxa"/>
              <w:bottom w:w="80" w:type="dxa"/>
              <w:end w:w="120" w:type="dxa"/>
            </w:tcMar>
          </w:tcPr>
          <w:p>
            <w:pPr>
              <w:suppressAutoHyphens w:val="true"/>
            </w:pPr>
            <w:r>
              <w:rPr>
                <w:b/>
                <w:sz w:val="18"/>
              </w:rPr>
              <w:t>Signals</w:t>
            </w:r>
          </w:p>
        </w:tc>
        <w:tc>
          <w:tcPr>
            <w:tcW w:type="dxa" w:w="1500"/>
            <w:shd w:fill="F2F4F7"/>
            <w:vAlign w:val="center"/>
            <w:tcMar>
              <w:top w:w="80" w:type="dxa"/>
              <w:start w:w="120" w:type="dxa"/>
              <w:bottom w:w="80" w:type="dxa"/>
              <w:end w:w="120" w:type="dxa"/>
            </w:tcMar>
          </w:tcPr>
          <w:p>
            <w:pPr>
              <w:suppressAutoHyphens w:val="true"/>
            </w:pPr>
            <w:r>
              <w:rPr>
                <w:b/>
                <w:sz w:val="18"/>
              </w:rPr>
              <w:t>Sharpe-like</w:t>
            </w:r>
          </w:p>
        </w:tc>
        <w:tc>
          <w:tcPr>
            <w:tcW w:type="dxa" w:w="1500"/>
            <w:shd w:fill="F2F4F7"/>
            <w:vAlign w:val="center"/>
            <w:tcMar>
              <w:top w:w="80" w:type="dxa"/>
              <w:start w:w="120" w:type="dxa"/>
              <w:bottom w:w="80" w:type="dxa"/>
              <w:end w:w="120" w:type="dxa"/>
            </w:tcMar>
          </w:tcPr>
          <w:p>
            <w:pPr>
              <w:suppressAutoHyphens w:val="true"/>
            </w:pPr>
            <w:r>
              <w:rPr>
                <w:b/>
                <w:sz w:val="18"/>
              </w:rPr>
              <w:t>Final equity</w:t>
            </w:r>
          </w:p>
        </w:tc>
        <w:tc>
          <w:tcPr>
            <w:tcW w:type="dxa" w:w="1560"/>
            <w:shd w:fill="F2F4F7"/>
            <w:vAlign w:val="center"/>
            <w:tcMar>
              <w:top w:w="80" w:type="dxa"/>
              <w:start w:w="120" w:type="dxa"/>
              <w:bottom w:w="80" w:type="dxa"/>
              <w:end w:w="120" w:type="dxa"/>
            </w:tcMar>
          </w:tcPr>
          <w:p>
            <w:pPr>
              <w:suppressAutoHyphens w:val="true"/>
            </w:pPr>
            <w:r>
              <w:rPr>
                <w:b/>
                <w:sz w:val="18"/>
              </w:rPr>
              <w:t>inv_p99</w:t>
            </w:r>
          </w:p>
        </w:tc>
      </w:tr>
      <w:tr>
        <w:tc>
          <w:tcPr>
            <w:tcW w:type="dxa" w:w="1800"/>
            <w:vAlign w:val="center"/>
            <w:tcMar>
              <w:top w:w="80" w:type="dxa"/>
              <w:start w:w="120" w:type="dxa"/>
              <w:bottom w:w="80" w:type="dxa"/>
              <w:end w:w="120" w:type="dxa"/>
            </w:tcMar>
          </w:tcPr>
          <w:p>
            <w:pPr>
              <w:suppressAutoHyphens w:val="true"/>
            </w:pPr>
            <w:r>
              <w:rPr>
                <w:sz w:val="18"/>
              </w:rPr>
              <w:t>ppo_sigma_only</w:t>
            </w:r>
          </w:p>
        </w:tc>
        <w:tc>
          <w:tcPr>
            <w:tcW w:type="dxa" w:w="3000"/>
            <w:vAlign w:val="center"/>
            <w:tcMar>
              <w:top w:w="80" w:type="dxa"/>
              <w:start w:w="120" w:type="dxa"/>
              <w:bottom w:w="80" w:type="dxa"/>
              <w:end w:w="120" w:type="dxa"/>
            </w:tcMar>
          </w:tcPr>
          <w:p>
            <w:pPr>
              <w:suppressAutoHyphens w:val="true"/>
            </w:pPr>
            <w:r>
              <w:rPr>
                <w:sz w:val="18"/>
              </w:rPr>
              <w:t>sigma_hat only</w:t>
            </w:r>
          </w:p>
        </w:tc>
        <w:tc>
          <w:tcPr>
            <w:tcW w:type="dxa" w:w="1500"/>
            <w:vAlign w:val="center"/>
            <w:tcMar>
              <w:top w:w="80" w:type="dxa"/>
              <w:start w:w="120" w:type="dxa"/>
              <w:bottom w:w="80" w:type="dxa"/>
              <w:end w:w="120" w:type="dxa"/>
            </w:tcMar>
          </w:tcPr>
          <w:p>
            <w:pPr>
              <w:suppressAutoHyphens w:val="true"/>
            </w:pPr>
            <w:r>
              <w:rPr>
                <w:sz w:val="18"/>
              </w:rPr>
              <w:t>0.752987</w:t>
            </w:r>
          </w:p>
        </w:tc>
        <w:tc>
          <w:tcPr>
            <w:tcW w:type="dxa" w:w="1500"/>
            <w:vAlign w:val="center"/>
            <w:tcMar>
              <w:top w:w="80" w:type="dxa"/>
              <w:start w:w="120" w:type="dxa"/>
              <w:bottom w:w="80" w:type="dxa"/>
              <w:end w:w="120" w:type="dxa"/>
            </w:tcMar>
          </w:tcPr>
          <w:p>
            <w:pPr>
              <w:suppressAutoHyphens w:val="true"/>
            </w:pPr>
            <w:r>
              <w:rPr>
                <w:sz w:val="18"/>
              </w:rPr>
              <w:t>4.547923</w:t>
            </w:r>
          </w:p>
        </w:tc>
        <w:tc>
          <w:tcPr>
            <w:tcW w:type="dxa" w:w="1560"/>
            <w:vAlign w:val="center"/>
            <w:tcMar>
              <w:top w:w="80" w:type="dxa"/>
              <w:start w:w="120" w:type="dxa"/>
              <w:bottom w:w="80" w:type="dxa"/>
              <w:end w:w="120" w:type="dxa"/>
            </w:tcMar>
          </w:tcPr>
          <w:p>
            <w:pPr>
              <w:suppressAutoHyphens w:val="true"/>
            </w:pPr>
            <w:r>
              <w:rPr>
                <w:sz w:val="18"/>
              </w:rPr>
              <w:t>1.950000</w:t>
            </w:r>
          </w:p>
        </w:tc>
      </w:tr>
      <w:tr>
        <w:tc>
          <w:tcPr>
            <w:tcW w:type="dxa" w:w="1800"/>
            <w:vAlign w:val="center"/>
            <w:tcMar>
              <w:top w:w="80" w:type="dxa"/>
              <w:start w:w="120" w:type="dxa"/>
              <w:bottom w:w="80" w:type="dxa"/>
              <w:end w:w="120" w:type="dxa"/>
            </w:tcMar>
          </w:tcPr>
          <w:p>
            <w:pPr>
              <w:suppressAutoHyphens w:val="true"/>
            </w:pPr>
            <w:r>
              <w:rPr>
                <w:sz w:val="18"/>
              </w:rPr>
              <w:t>ppo_oracle_full</w:t>
            </w:r>
          </w:p>
        </w:tc>
        <w:tc>
          <w:tcPr>
            <w:tcW w:type="dxa" w:w="3000"/>
            <w:vAlign w:val="center"/>
            <w:tcMar>
              <w:top w:w="80" w:type="dxa"/>
              <w:start w:w="120" w:type="dxa"/>
              <w:bottom w:w="80" w:type="dxa"/>
              <w:end w:w="120" w:type="dxa"/>
            </w:tcMar>
          </w:tcPr>
          <w:p>
            <w:pPr>
              <w:suppressAutoHyphens w:val="true"/>
            </w:pPr>
            <w:r>
              <w:rPr>
                <w:sz w:val="18"/>
              </w:rPr>
              <w:t>sigma_hat + regime_true</w:t>
            </w:r>
          </w:p>
        </w:tc>
        <w:tc>
          <w:tcPr>
            <w:tcW w:type="dxa" w:w="1500"/>
            <w:vAlign w:val="center"/>
            <w:tcMar>
              <w:top w:w="80" w:type="dxa"/>
              <w:start w:w="120" w:type="dxa"/>
              <w:bottom w:w="80" w:type="dxa"/>
              <w:end w:w="120" w:type="dxa"/>
            </w:tcMar>
          </w:tcPr>
          <w:p>
            <w:pPr>
              <w:suppressAutoHyphens w:val="true"/>
            </w:pPr>
            <w:r>
              <w:rPr>
                <w:sz w:val="18"/>
              </w:rPr>
              <w:t>0.722443</w:t>
            </w:r>
          </w:p>
        </w:tc>
        <w:tc>
          <w:tcPr>
            <w:tcW w:type="dxa" w:w="1500"/>
            <w:vAlign w:val="center"/>
            <w:tcMar>
              <w:top w:w="80" w:type="dxa"/>
              <w:start w:w="120" w:type="dxa"/>
              <w:bottom w:w="80" w:type="dxa"/>
              <w:end w:w="120" w:type="dxa"/>
            </w:tcMar>
          </w:tcPr>
          <w:p>
            <w:pPr>
              <w:suppressAutoHyphens w:val="true"/>
            </w:pPr>
            <w:r>
              <w:rPr>
                <w:sz w:val="18"/>
              </w:rPr>
              <w:t>4.067945</w:t>
            </w:r>
          </w:p>
        </w:tc>
        <w:tc>
          <w:tcPr>
            <w:tcW w:type="dxa" w:w="1560"/>
            <w:vAlign w:val="center"/>
            <w:tcMar>
              <w:top w:w="80" w:type="dxa"/>
              <w:start w:w="120" w:type="dxa"/>
              <w:bottom w:w="80" w:type="dxa"/>
              <w:end w:w="120" w:type="dxa"/>
            </w:tcMar>
          </w:tcPr>
          <w:p>
            <w:pPr>
              <w:suppressAutoHyphens w:val="true"/>
            </w:pPr>
            <w:r>
              <w:rPr>
                <w:sz w:val="18"/>
              </w:rPr>
              <w:t>2.050000</w:t>
            </w:r>
          </w:p>
        </w:tc>
      </w:tr>
      <w:tr>
        <w:tc>
          <w:tcPr>
            <w:tcW w:type="dxa" w:w="1800"/>
            <w:vAlign w:val="center"/>
            <w:tcMar>
              <w:top w:w="80" w:type="dxa"/>
              <w:start w:w="120" w:type="dxa"/>
              <w:bottom w:w="80" w:type="dxa"/>
              <w:end w:w="120" w:type="dxa"/>
            </w:tcMar>
          </w:tcPr>
          <w:p>
            <w:pPr>
              <w:suppressAutoHyphens w:val="true"/>
            </w:pPr>
            <w:r>
              <w:rPr>
                <w:sz w:val="18"/>
              </w:rPr>
              <w:t>ppo_regime_only</w:t>
            </w:r>
          </w:p>
        </w:tc>
        <w:tc>
          <w:tcPr>
            <w:tcW w:type="dxa" w:w="3000"/>
            <w:vAlign w:val="center"/>
            <w:tcMar>
              <w:top w:w="80" w:type="dxa"/>
              <w:start w:w="120" w:type="dxa"/>
              <w:bottom w:w="80" w:type="dxa"/>
              <w:end w:w="120" w:type="dxa"/>
            </w:tcMar>
          </w:tcPr>
          <w:p>
            <w:pPr>
              <w:suppressAutoHyphens w:val="true"/>
            </w:pPr>
            <w:r>
              <w:rPr>
                <w:sz w:val="18"/>
              </w:rPr>
              <w:t>regime_hat only</w:t>
            </w:r>
          </w:p>
        </w:tc>
        <w:tc>
          <w:tcPr>
            <w:tcW w:type="dxa" w:w="1500"/>
            <w:vAlign w:val="center"/>
            <w:tcMar>
              <w:top w:w="80" w:type="dxa"/>
              <w:start w:w="120" w:type="dxa"/>
              <w:bottom w:w="80" w:type="dxa"/>
              <w:end w:w="120" w:type="dxa"/>
            </w:tcMar>
          </w:tcPr>
          <w:p>
            <w:pPr>
              <w:suppressAutoHyphens w:val="true"/>
            </w:pPr>
            <w:r>
              <w:rPr>
                <w:sz w:val="18"/>
              </w:rPr>
              <w:t>0.697552</w:t>
            </w:r>
          </w:p>
        </w:tc>
        <w:tc>
          <w:tcPr>
            <w:tcW w:type="dxa" w:w="1500"/>
            <w:vAlign w:val="center"/>
            <w:tcMar>
              <w:top w:w="80" w:type="dxa"/>
              <w:start w:w="120" w:type="dxa"/>
              <w:bottom w:w="80" w:type="dxa"/>
              <w:end w:w="120" w:type="dxa"/>
            </w:tcMar>
          </w:tcPr>
          <w:p>
            <w:pPr>
              <w:suppressAutoHyphens w:val="true"/>
            </w:pPr>
            <w:r>
              <w:rPr>
                <w:sz w:val="18"/>
              </w:rPr>
              <w:t>4.005379</w:t>
            </w:r>
          </w:p>
        </w:tc>
        <w:tc>
          <w:tcPr>
            <w:tcW w:type="dxa" w:w="1560"/>
            <w:vAlign w:val="center"/>
            <w:tcMar>
              <w:top w:w="80" w:type="dxa"/>
              <w:start w:w="120" w:type="dxa"/>
              <w:bottom w:w="80" w:type="dxa"/>
              <w:end w:w="120" w:type="dxa"/>
            </w:tcMar>
          </w:tcPr>
          <w:p>
            <w:pPr>
              <w:suppressAutoHyphens w:val="true"/>
            </w:pPr>
            <w:r>
              <w:rPr>
                <w:sz w:val="18"/>
              </w:rPr>
              <w:t>2.150000</w:t>
            </w:r>
          </w:p>
        </w:tc>
      </w:tr>
      <w:tr>
        <w:tc>
          <w:tcPr>
            <w:tcW w:type="dxa" w:w="1800"/>
            <w:vAlign w:val="center"/>
            <w:tcMar>
              <w:top w:w="80" w:type="dxa"/>
              <w:start w:w="120" w:type="dxa"/>
              <w:bottom w:w="80" w:type="dxa"/>
              <w:end w:w="120" w:type="dxa"/>
            </w:tcMar>
          </w:tcPr>
          <w:p>
            <w:pPr>
              <w:suppressAutoHyphens w:val="true"/>
            </w:pPr>
            <w:r>
              <w:rPr>
                <w:sz w:val="18"/>
              </w:rPr>
              <w:t>ppo_combined</w:t>
            </w:r>
          </w:p>
        </w:tc>
        <w:tc>
          <w:tcPr>
            <w:tcW w:type="dxa" w:w="3000"/>
            <w:vAlign w:val="center"/>
            <w:tcMar>
              <w:top w:w="80" w:type="dxa"/>
              <w:start w:w="120" w:type="dxa"/>
              <w:bottom w:w="80" w:type="dxa"/>
              <w:end w:w="120" w:type="dxa"/>
            </w:tcMar>
          </w:tcPr>
          <w:p>
            <w:pPr>
              <w:suppressAutoHyphens w:val="true"/>
            </w:pPr>
            <w:r>
              <w:rPr>
                <w:sz w:val="18"/>
              </w:rPr>
              <w:t>sigma_hat + regime_hat</w:t>
            </w:r>
          </w:p>
        </w:tc>
        <w:tc>
          <w:tcPr>
            <w:tcW w:type="dxa" w:w="1500"/>
            <w:vAlign w:val="center"/>
            <w:tcMar>
              <w:top w:w="80" w:type="dxa"/>
              <w:start w:w="120" w:type="dxa"/>
              <w:bottom w:w="80" w:type="dxa"/>
              <w:end w:w="120" w:type="dxa"/>
            </w:tcMar>
          </w:tcPr>
          <w:p>
            <w:pPr>
              <w:suppressAutoHyphens w:val="true"/>
            </w:pPr>
            <w:r>
              <w:rPr>
                <w:sz w:val="18"/>
              </w:rPr>
              <w:t>0.696182</w:t>
            </w:r>
          </w:p>
        </w:tc>
        <w:tc>
          <w:tcPr>
            <w:tcW w:type="dxa" w:w="1500"/>
            <w:vAlign w:val="center"/>
            <w:tcMar>
              <w:top w:w="80" w:type="dxa"/>
              <w:start w:w="120" w:type="dxa"/>
              <w:bottom w:w="80" w:type="dxa"/>
              <w:end w:w="120" w:type="dxa"/>
            </w:tcMar>
          </w:tcPr>
          <w:p>
            <w:pPr>
              <w:suppressAutoHyphens w:val="true"/>
            </w:pPr>
            <w:r>
              <w:rPr>
                <w:sz w:val="18"/>
              </w:rPr>
              <w:t>3.905214</w:t>
            </w:r>
          </w:p>
        </w:tc>
        <w:tc>
          <w:tcPr>
            <w:tcW w:type="dxa" w:w="1560"/>
            <w:vAlign w:val="center"/>
            <w:tcMar>
              <w:top w:w="80" w:type="dxa"/>
              <w:start w:w="120" w:type="dxa"/>
              <w:bottom w:w="80" w:type="dxa"/>
              <w:end w:w="120" w:type="dxa"/>
            </w:tcMar>
          </w:tcPr>
          <w:p>
            <w:pPr>
              <w:suppressAutoHyphens w:val="true"/>
            </w:pPr>
            <w:r>
              <w:rPr>
                <w:sz w:val="18"/>
              </w:rPr>
              <w:t>1.800000</w:t>
            </w:r>
          </w:p>
        </w:tc>
      </w:tr>
      <w:tr>
        <w:tc>
          <w:tcPr>
            <w:tcW w:type="dxa" w:w="1800"/>
            <w:vAlign w:val="center"/>
            <w:tcMar>
              <w:top w:w="80" w:type="dxa"/>
              <w:start w:w="120" w:type="dxa"/>
              <w:bottom w:w="80" w:type="dxa"/>
              <w:end w:w="120" w:type="dxa"/>
            </w:tcMar>
          </w:tcPr>
          <w:p>
            <w:pPr>
              <w:suppressAutoHyphens w:val="true"/>
            </w:pPr>
            <w:r>
              <w:rPr>
                <w:sz w:val="18"/>
              </w:rPr>
              <w:t>ppo_oracle_pure</w:t>
            </w:r>
          </w:p>
        </w:tc>
        <w:tc>
          <w:tcPr>
            <w:tcW w:type="dxa" w:w="3000"/>
            <w:vAlign w:val="center"/>
            <w:tcMar>
              <w:top w:w="80" w:type="dxa"/>
              <w:start w:w="120" w:type="dxa"/>
              <w:bottom w:w="80" w:type="dxa"/>
              <w:end w:w="120" w:type="dxa"/>
            </w:tcMar>
          </w:tcPr>
          <w:p>
            <w:pPr>
              <w:suppressAutoHyphens w:val="true"/>
            </w:pPr>
            <w:r>
              <w:rPr>
                <w:sz w:val="18"/>
              </w:rPr>
              <w:t>regime_true only</w:t>
            </w:r>
          </w:p>
        </w:tc>
        <w:tc>
          <w:tcPr>
            <w:tcW w:type="dxa" w:w="1500"/>
            <w:vAlign w:val="center"/>
            <w:tcMar>
              <w:top w:w="80" w:type="dxa"/>
              <w:start w:w="120" w:type="dxa"/>
              <w:bottom w:w="80" w:type="dxa"/>
              <w:end w:w="120" w:type="dxa"/>
            </w:tcMar>
          </w:tcPr>
          <w:p>
            <w:pPr>
              <w:suppressAutoHyphens w:val="true"/>
            </w:pPr>
            <w:r>
              <w:rPr>
                <w:sz w:val="18"/>
              </w:rPr>
              <w:t>0.683829</w:t>
            </w:r>
          </w:p>
        </w:tc>
        <w:tc>
          <w:tcPr>
            <w:tcW w:type="dxa" w:w="1500"/>
            <w:vAlign w:val="center"/>
            <w:tcMar>
              <w:top w:w="80" w:type="dxa"/>
              <w:start w:w="120" w:type="dxa"/>
              <w:bottom w:w="80" w:type="dxa"/>
              <w:end w:w="120" w:type="dxa"/>
            </w:tcMar>
          </w:tcPr>
          <w:p>
            <w:pPr>
              <w:suppressAutoHyphens w:val="true"/>
            </w:pPr>
            <w:r>
              <w:rPr>
                <w:sz w:val="18"/>
              </w:rPr>
              <w:t>3.925499</w:t>
            </w:r>
          </w:p>
        </w:tc>
        <w:tc>
          <w:tcPr>
            <w:tcW w:type="dxa" w:w="1560"/>
            <w:vAlign w:val="center"/>
            <w:tcMar>
              <w:top w:w="80" w:type="dxa"/>
              <w:start w:w="120" w:type="dxa"/>
              <w:bottom w:w="80" w:type="dxa"/>
              <w:end w:w="120" w:type="dxa"/>
            </w:tcMar>
          </w:tcPr>
          <w:p>
            <w:pPr>
              <w:suppressAutoHyphens w:val="true"/>
            </w:pPr>
            <w:r>
              <w:rPr>
                <w:sz w:val="18"/>
              </w:rPr>
              <w:t>1.950000</w:t>
            </w:r>
          </w:p>
        </w:tc>
      </w:tr>
    </w:tbl>
    <w:p>
      <w:pPr>
        <w:suppressAutoHyphens w:val="true"/>
      </w:pPr>
    </w:p>
    <w:p>
      <w:pPr>
        <w:suppressAutoHyphens w:val="true"/>
      </w:pPr>
      <w:r>
        <w:t>The strongest ablation result is that sigma_only has the highest mean Sharpe-like value, while oracle_full does not significantly beat it. TOST supports practical equivalence under the +/-0.10 Sharpe-like bound.</w:t>
      </w:r>
    </w:p>
    <w:p>
      <w:pPr>
        <w:keepNext/>
        <w:keepLines/>
        <w:jc w:val="center"/>
        <w:suppressAutoHyphens w:val="true"/>
      </w:pPr>
      <w:r>
        <w:drawing>
          <wp:inline xmlns:a="http://schemas.openxmlformats.org/drawingml/2006/main" xmlns:pic="http://schemas.openxmlformats.org/drawingml/2006/picture">
            <wp:extent cx="4754880" cy="147923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3"/>
                    <a:stretch>
                      <a:fillRect/>
                    </a:stretch>
                  </pic:blipFill>
                  <pic:spPr>
                    <a:xfrm>
                      <a:off x="0" y="0"/>
                      <a:ext cx="4754880" cy="1479237"/>
                    </a:xfrm>
                    <a:prstGeom prst="rect"/>
                  </pic:spPr>
                </pic:pic>
              </a:graphicData>
            </a:graphic>
          </wp:inline>
        </w:drawing>
      </w:r>
    </w:p>
    <w:p>
      <w:pPr>
        <w:pStyle w:val="Caption"/>
        <w:keepLines/>
        <w:jc w:val="center"/>
        <w:suppressAutoHyphens w:val="true"/>
      </w:pPr>
      <w:r>
        <w:t>Figure 8.3. Five-variant ablation summary: sigma_only is the strongest mean Sharpe-like variant, and adding categorical labels does not improve it.</w:t>
      </w:r>
    </w:p>
    <w:p>
      <w:pPr>
        <w:keepNext/>
        <w:keepLines/>
        <w:jc w:val="center"/>
        <w:suppressAutoHyphens w:val="true"/>
      </w:pPr>
      <w:r>
        <w:drawing>
          <wp:inline xmlns:a="http://schemas.openxmlformats.org/drawingml/2006/main" xmlns:pic="http://schemas.openxmlformats.org/drawingml/2006/picture">
            <wp:extent cx="4754880" cy="2271533"/>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4"/>
                    <a:stretch>
                      <a:fillRect/>
                    </a:stretch>
                  </pic:blipFill>
                  <pic:spPr>
                    <a:xfrm>
                      <a:off x="0" y="0"/>
                      <a:ext cx="4754880" cy="2271533"/>
                    </a:xfrm>
                    <a:prstGeom prst="rect"/>
                  </pic:spPr>
                </pic:pic>
              </a:graphicData>
            </a:graphic>
          </wp:inline>
        </w:drawing>
      </w:r>
    </w:p>
    <w:p>
      <w:pPr>
        <w:pStyle w:val="Caption"/>
        <w:keepLines/>
        <w:jc w:val="center"/>
        <w:suppressAutoHyphens w:val="true"/>
      </w:pPr>
      <w:r>
        <w:t>Figure 8.4. Oracle-label paired-seed comparison: even true regime labels do not reliably improve on sigma_hat alone.</w:t>
      </w:r>
    </w:p>
    <w:p>
      <w:pPr>
        <w:suppressAutoHyphens w:val="true"/>
      </w:pPr>
      <w:r>
        <w:br w:type="page"/>
      </w:r>
    </w:p>
    <w:p>
      <w:pPr>
        <w:suppressAutoHyphens w:val="true"/>
      </w:pPr>
      <w:r>
        <w:t>The compact statistical summary below collects the canonical paired tests used to interpret the ablation and robustness results.</w:t>
      </w:r>
    </w:p>
    <w:tbl>
      <w:tblPr>
        <w:tblStyle w:val="TableGrid"/>
        <w:tblW w:type="dxa" w:w="9360"/>
        <w:tblLook w:firstColumn="1" w:firstRow="1" w:lastColumn="0" w:lastRow="0" w:noHBand="0" w:noVBand="1" w:val="04A0"/>
        <w:tblInd w:w="120" w:type="dxa"/>
        <w:tblLayout w:type="fixed"/>
      </w:tblPr>
      <w:tblGrid>
        <w:gridCol w:w="2400"/>
        <w:gridCol w:w="2100"/>
        <w:gridCol w:w="2300"/>
        <w:gridCol w:w="2560"/>
      </w:tblGrid>
      <w:tr>
        <w:tc>
          <w:tcPr>
            <w:tcW w:type="dxa" w:w="2400"/>
            <w:shd w:fill="F2F4F7"/>
            <w:vAlign w:val="center"/>
            <w:tcMar>
              <w:top w:w="80" w:type="dxa"/>
              <w:start w:w="120" w:type="dxa"/>
              <w:bottom w:w="80" w:type="dxa"/>
              <w:end w:w="120" w:type="dxa"/>
            </w:tcMar>
          </w:tcPr>
          <w:p>
            <w:pPr>
              <w:suppressAutoHyphens w:val="true"/>
            </w:pPr>
            <w:r>
              <w:rPr>
                <w:b/>
                <w:sz w:val="18"/>
              </w:rPr>
              <w:t>Comparison</w:t>
            </w:r>
          </w:p>
        </w:tc>
        <w:tc>
          <w:tcPr>
            <w:tcW w:type="dxa" w:w="2100"/>
            <w:shd w:fill="F2F4F7"/>
            <w:vAlign w:val="center"/>
            <w:tcMar>
              <w:top w:w="80" w:type="dxa"/>
              <w:start w:w="120" w:type="dxa"/>
              <w:bottom w:w="80" w:type="dxa"/>
              <w:end w:w="120" w:type="dxa"/>
            </w:tcMar>
          </w:tcPr>
          <w:p>
            <w:pPr>
              <w:suppressAutoHyphens w:val="true"/>
            </w:pPr>
            <w:r>
              <w:rPr>
                <w:b/>
                <w:sz w:val="18"/>
              </w:rPr>
              <w:t>Metric or test</w:t>
            </w:r>
          </w:p>
        </w:tc>
        <w:tc>
          <w:tcPr>
            <w:tcW w:type="dxa" w:w="2300"/>
            <w:shd w:fill="F2F4F7"/>
            <w:vAlign w:val="center"/>
            <w:tcMar>
              <w:top w:w="80" w:type="dxa"/>
              <w:start w:w="120" w:type="dxa"/>
              <w:bottom w:w="80" w:type="dxa"/>
              <w:end w:w="120" w:type="dxa"/>
            </w:tcMar>
          </w:tcPr>
          <w:p>
            <w:pPr>
              <w:suppressAutoHyphens w:val="true"/>
            </w:pPr>
            <w:r>
              <w:rPr>
                <w:b/>
                <w:sz w:val="18"/>
              </w:rPr>
              <w:t>Canonical result</w:t>
            </w:r>
          </w:p>
        </w:tc>
        <w:tc>
          <w:tcPr>
            <w:tcW w:type="dxa" w:w="2560"/>
            <w:shd w:fill="F2F4F7"/>
            <w:vAlign w:val="center"/>
            <w:tcMar>
              <w:top w:w="80" w:type="dxa"/>
              <w:start w:w="120" w:type="dxa"/>
              <w:bottom w:w="80" w:type="dxa"/>
              <w:end w:w="120" w:type="dxa"/>
            </w:tcMar>
          </w:tcPr>
          <w:p>
            <w:pPr>
              <w:suppressAutoHyphens w:val="true"/>
            </w:pPr>
            <w:r>
              <w:rPr>
                <w:b/>
                <w:sz w:val="18"/>
              </w:rPr>
              <w:t>Defense-safe reading</w:t>
            </w:r>
          </w:p>
        </w:tc>
      </w:tr>
      <w:tr>
        <w:tc>
          <w:tcPr>
            <w:tcW w:type="dxa" w:w="2400"/>
            <w:vAlign w:val="center"/>
            <w:tcMar>
              <w:top w:w="80" w:type="dxa"/>
              <w:start w:w="120" w:type="dxa"/>
              <w:bottom w:w="80" w:type="dxa"/>
              <w:end w:w="120" w:type="dxa"/>
            </w:tcMar>
          </w:tcPr>
          <w:p>
            <w:pPr>
              <w:suppressAutoHyphens w:val="true"/>
            </w:pPr>
            <w:r>
              <w:rPr>
                <w:sz w:val="18"/>
              </w:rPr>
              <w:t>PPO-aware vs PPO-blind</w:t>
            </w:r>
          </w:p>
        </w:tc>
        <w:tc>
          <w:tcPr>
            <w:tcW w:type="dxa" w:w="2100"/>
            <w:vAlign w:val="center"/>
            <w:tcMar>
              <w:top w:w="80" w:type="dxa"/>
              <w:start w:w="120" w:type="dxa"/>
              <w:bottom w:w="80" w:type="dxa"/>
              <w:end w:w="120" w:type="dxa"/>
            </w:tcMar>
          </w:tcPr>
          <w:p>
            <w:pPr>
              <w:suppressAutoHyphens w:val="true"/>
            </w:pPr>
            <w:r>
              <w:rPr>
                <w:sz w:val="18"/>
              </w:rPr>
              <w:t>Sharpe-like paired t-test</w:t>
            </w:r>
          </w:p>
        </w:tc>
        <w:tc>
          <w:tcPr>
            <w:tcW w:type="dxa" w:w="2300"/>
            <w:vAlign w:val="center"/>
            <w:tcMar>
              <w:top w:w="80" w:type="dxa"/>
              <w:start w:w="120" w:type="dxa"/>
              <w:bottom w:w="80" w:type="dxa"/>
              <w:end w:w="120" w:type="dxa"/>
            </w:tcMar>
          </w:tcPr>
          <w:p>
            <w:pPr>
              <w:suppressAutoHyphens w:val="true"/>
            </w:pPr>
            <w:r>
              <w:rPr>
                <w:sz w:val="18"/>
              </w:rPr>
              <w:t>p = 0.261</w:t>
            </w:r>
          </w:p>
        </w:tc>
        <w:tc>
          <w:tcPr>
            <w:tcW w:type="dxa" w:w="2560"/>
            <w:vAlign w:val="center"/>
            <w:tcMar>
              <w:top w:w="80" w:type="dxa"/>
              <w:start w:w="120" w:type="dxa"/>
              <w:bottom w:w="80" w:type="dxa"/>
              <w:end w:w="120" w:type="dxa"/>
            </w:tcMar>
          </w:tcPr>
          <w:p>
            <w:pPr>
              <w:suppressAutoHyphens w:val="true"/>
            </w:pPr>
            <w:r>
              <w:rPr>
                <w:sz w:val="18"/>
              </w:rPr>
              <w:t>No significant Sharpe improvement.</w:t>
            </w:r>
          </w:p>
        </w:tc>
      </w:tr>
      <w:tr>
        <w:tc>
          <w:tcPr>
            <w:tcW w:type="dxa" w:w="2400"/>
            <w:vAlign w:val="center"/>
            <w:tcMar>
              <w:top w:w="80" w:type="dxa"/>
              <w:start w:w="120" w:type="dxa"/>
              <w:bottom w:w="80" w:type="dxa"/>
              <w:end w:w="120" w:type="dxa"/>
            </w:tcMar>
          </w:tcPr>
          <w:p>
            <w:pPr>
              <w:suppressAutoHyphens w:val="true"/>
            </w:pPr>
            <w:r>
              <w:rPr>
                <w:sz w:val="18"/>
              </w:rPr>
              <w:t>PPO-aware vs PPO-blind</w:t>
            </w:r>
          </w:p>
        </w:tc>
        <w:tc>
          <w:tcPr>
            <w:tcW w:type="dxa" w:w="2100"/>
            <w:vAlign w:val="center"/>
            <w:tcMar>
              <w:top w:w="80" w:type="dxa"/>
              <w:start w:w="120" w:type="dxa"/>
              <w:bottom w:w="80" w:type="dxa"/>
              <w:end w:w="120" w:type="dxa"/>
            </w:tcMar>
          </w:tcPr>
          <w:p>
            <w:pPr>
              <w:suppressAutoHyphens w:val="true"/>
            </w:pPr>
            <w:r>
              <w:rPr>
                <w:sz w:val="18"/>
              </w:rPr>
              <w:t>Final equity paired t-test</w:t>
            </w:r>
          </w:p>
        </w:tc>
        <w:tc>
          <w:tcPr>
            <w:tcW w:type="dxa" w:w="2300"/>
            <w:vAlign w:val="center"/>
            <w:tcMar>
              <w:top w:w="80" w:type="dxa"/>
              <w:start w:w="120" w:type="dxa"/>
              <w:bottom w:w="80" w:type="dxa"/>
              <w:end w:w="120" w:type="dxa"/>
            </w:tcMar>
          </w:tcPr>
          <w:p>
            <w:pPr>
              <w:suppressAutoHyphens w:val="true"/>
            </w:pPr>
            <w:r>
              <w:rPr>
                <w:sz w:val="18"/>
              </w:rPr>
              <w:t>p = 0.023</w:t>
            </w:r>
          </w:p>
        </w:tc>
        <w:tc>
          <w:tcPr>
            <w:tcW w:type="dxa" w:w="2560"/>
            <w:vAlign w:val="center"/>
            <w:tcMar>
              <w:top w:w="80" w:type="dxa"/>
              <w:start w:w="120" w:type="dxa"/>
              <w:bottom w:w="80" w:type="dxa"/>
              <w:end w:w="120" w:type="dxa"/>
            </w:tcMar>
          </w:tcPr>
          <w:p>
            <w:pPr>
              <w:suppressAutoHyphens w:val="true"/>
            </w:pPr>
            <w:r>
              <w:rPr>
                <w:sz w:val="18"/>
              </w:rPr>
              <w:t>Favors PPO-blind.</w:t>
            </w:r>
          </w:p>
        </w:tc>
      </w:tr>
      <w:tr>
        <w:tc>
          <w:tcPr>
            <w:tcW w:type="dxa" w:w="2400"/>
            <w:vAlign w:val="center"/>
            <w:tcMar>
              <w:top w:w="80" w:type="dxa"/>
              <w:start w:w="120" w:type="dxa"/>
              <w:bottom w:w="80" w:type="dxa"/>
              <w:end w:w="120" w:type="dxa"/>
            </w:tcMar>
          </w:tcPr>
          <w:p>
            <w:pPr>
              <w:suppressAutoHyphens w:val="true"/>
            </w:pPr>
            <w:r>
              <w:rPr>
                <w:sz w:val="18"/>
              </w:rPr>
              <w:t>ppo_sigma_only vs ppo_oracle_full</w:t>
            </w:r>
          </w:p>
        </w:tc>
        <w:tc>
          <w:tcPr>
            <w:tcW w:type="dxa" w:w="2100"/>
            <w:vAlign w:val="center"/>
            <w:tcMar>
              <w:top w:w="80" w:type="dxa"/>
              <w:start w:w="120" w:type="dxa"/>
              <w:bottom w:w="80" w:type="dxa"/>
              <w:end w:w="120" w:type="dxa"/>
            </w:tcMar>
          </w:tcPr>
          <w:p>
            <w:pPr>
              <w:suppressAutoHyphens w:val="true"/>
            </w:pPr>
            <w:r>
              <w:rPr>
                <w:sz w:val="18"/>
              </w:rPr>
              <w:t>Sharpe-like paired t-test</w:t>
            </w:r>
          </w:p>
        </w:tc>
        <w:tc>
          <w:tcPr>
            <w:tcW w:type="dxa" w:w="2300"/>
            <w:vAlign w:val="center"/>
            <w:tcMar>
              <w:top w:w="80" w:type="dxa"/>
              <w:start w:w="120" w:type="dxa"/>
              <w:bottom w:w="80" w:type="dxa"/>
              <w:end w:w="120" w:type="dxa"/>
            </w:tcMar>
          </w:tcPr>
          <w:p>
            <w:pPr>
              <w:suppressAutoHyphens w:val="true"/>
            </w:pPr>
            <w:r>
              <w:rPr>
                <w:sz w:val="18"/>
              </w:rPr>
              <w:t>p = 0.115</w:t>
            </w:r>
          </w:p>
        </w:tc>
        <w:tc>
          <w:tcPr>
            <w:tcW w:type="dxa" w:w="2560"/>
            <w:vAlign w:val="center"/>
            <w:tcMar>
              <w:top w:w="80" w:type="dxa"/>
              <w:start w:w="120" w:type="dxa"/>
              <w:bottom w:w="80" w:type="dxa"/>
              <w:end w:w="120" w:type="dxa"/>
            </w:tcMar>
          </w:tcPr>
          <w:p>
            <w:pPr>
              <w:suppressAutoHyphens w:val="true"/>
            </w:pPr>
            <w:r>
              <w:rPr>
                <w:sz w:val="18"/>
              </w:rPr>
              <w:t>No oracle-label Sharpe improvement.</w:t>
            </w:r>
          </w:p>
        </w:tc>
      </w:tr>
      <w:tr>
        <w:tc>
          <w:tcPr>
            <w:tcW w:type="dxa" w:w="2400"/>
            <w:vAlign w:val="center"/>
            <w:tcMar>
              <w:top w:w="80" w:type="dxa"/>
              <w:start w:w="120" w:type="dxa"/>
              <w:bottom w:w="80" w:type="dxa"/>
              <w:end w:w="120" w:type="dxa"/>
            </w:tcMar>
          </w:tcPr>
          <w:p>
            <w:pPr>
              <w:suppressAutoHyphens w:val="true"/>
            </w:pPr>
            <w:r>
              <w:rPr>
                <w:sz w:val="18"/>
              </w:rPr>
              <w:t>ppo_sigma_only vs ppo_oracle_full</w:t>
            </w:r>
          </w:p>
        </w:tc>
        <w:tc>
          <w:tcPr>
            <w:tcW w:type="dxa" w:w="2100"/>
            <w:vAlign w:val="center"/>
            <w:tcMar>
              <w:top w:w="80" w:type="dxa"/>
              <w:start w:w="120" w:type="dxa"/>
              <w:bottom w:w="80" w:type="dxa"/>
              <w:end w:w="120" w:type="dxa"/>
            </w:tcMar>
          </w:tcPr>
          <w:p>
            <w:pPr>
              <w:suppressAutoHyphens w:val="true"/>
            </w:pPr>
            <w:r>
              <w:rPr>
                <w:sz w:val="18"/>
              </w:rPr>
              <w:t>TOST +/-0.10</w:t>
            </w:r>
          </w:p>
        </w:tc>
        <w:tc>
          <w:tcPr>
            <w:tcW w:type="dxa" w:w="2300"/>
            <w:vAlign w:val="center"/>
            <w:tcMar>
              <w:top w:w="80" w:type="dxa"/>
              <w:start w:w="120" w:type="dxa"/>
              <w:bottom w:w="80" w:type="dxa"/>
              <w:end w:w="120" w:type="dxa"/>
            </w:tcMar>
          </w:tcPr>
          <w:p>
            <w:pPr>
              <w:suppressAutoHyphens w:val="true"/>
            </w:pPr>
            <w:r>
              <w:rPr>
                <w:sz w:val="18"/>
              </w:rPr>
              <w:t>p = 0.00067; 90% CI [-0.001, +0.063]</w:t>
            </w:r>
          </w:p>
        </w:tc>
        <w:tc>
          <w:tcPr>
            <w:tcW w:type="dxa" w:w="2560"/>
            <w:vAlign w:val="center"/>
            <w:tcMar>
              <w:top w:w="80" w:type="dxa"/>
              <w:start w:w="120" w:type="dxa"/>
              <w:bottom w:w="80" w:type="dxa"/>
              <w:end w:w="120" w:type="dxa"/>
            </w:tcMar>
          </w:tcPr>
          <w:p>
            <w:pPr>
              <w:suppressAutoHyphens w:val="true"/>
            </w:pPr>
            <w:r>
              <w:rPr>
                <w:sz w:val="18"/>
              </w:rPr>
              <w:t>Practical equivalence supported.</w:t>
            </w:r>
          </w:p>
        </w:tc>
      </w:tr>
      <w:tr>
        <w:tc>
          <w:tcPr>
            <w:tcW w:type="dxa" w:w="2400"/>
            <w:vAlign w:val="center"/>
            <w:tcMar>
              <w:top w:w="80" w:type="dxa"/>
              <w:start w:w="120" w:type="dxa"/>
              <w:bottom w:w="80" w:type="dxa"/>
              <w:end w:w="120" w:type="dxa"/>
            </w:tcMar>
          </w:tcPr>
          <w:p>
            <w:pPr>
              <w:suppressAutoHyphens w:val="true"/>
            </w:pPr>
            <w:r>
              <w:rPr>
                <w:sz w:val="18"/>
              </w:rPr>
              <w:t>HMM detector</w:t>
            </w:r>
          </w:p>
        </w:tc>
        <w:tc>
          <w:tcPr>
            <w:tcW w:type="dxa" w:w="2100"/>
            <w:vAlign w:val="center"/>
            <w:tcMar>
              <w:top w:w="80" w:type="dxa"/>
              <w:start w:w="120" w:type="dxa"/>
              <w:bottom w:w="80" w:type="dxa"/>
              <w:end w:w="120" w:type="dxa"/>
            </w:tcMar>
          </w:tcPr>
          <w:p>
            <w:pPr>
              <w:suppressAutoHyphens w:val="true"/>
            </w:pPr>
            <w:r>
              <w:rPr>
                <w:sz w:val="18"/>
              </w:rPr>
              <w:t>Detector accuracy</w:t>
            </w:r>
          </w:p>
        </w:tc>
        <w:tc>
          <w:tcPr>
            <w:tcW w:type="dxa" w:w="2300"/>
            <w:vAlign w:val="center"/>
            <w:tcMar>
              <w:top w:w="80" w:type="dxa"/>
              <w:start w:w="120" w:type="dxa"/>
              <w:bottom w:w="80" w:type="dxa"/>
              <w:end w:w="120" w:type="dxa"/>
            </w:tcMar>
          </w:tcPr>
          <w:p>
            <w:pPr>
              <w:suppressAutoHyphens w:val="true"/>
            </w:pPr>
            <w:r>
              <w:rPr>
                <w:sz w:val="18"/>
              </w:rPr>
              <w:t>81.8%</w:t>
            </w:r>
          </w:p>
        </w:tc>
        <w:tc>
          <w:tcPr>
            <w:tcW w:type="dxa" w:w="2560"/>
            <w:vAlign w:val="center"/>
            <w:tcMar>
              <w:top w:w="80" w:type="dxa"/>
              <w:start w:w="120" w:type="dxa"/>
              <w:bottom w:w="80" w:type="dxa"/>
              <w:end w:w="120" w:type="dxa"/>
            </w:tcMar>
          </w:tcPr>
          <w:p>
            <w:pPr>
              <w:suppressAutoHyphens w:val="true"/>
            </w:pPr>
            <w:r>
              <w:rPr>
                <w:sz w:val="18"/>
              </w:rPr>
              <w:t>Higher accuracy does not create advantage.</w:t>
            </w:r>
          </w:p>
        </w:tc>
      </w:tr>
      <w:tr>
        <w:tc>
          <w:tcPr>
            <w:tcW w:type="dxa" w:w="2400"/>
            <w:vAlign w:val="center"/>
            <w:tcMar>
              <w:top w:w="80" w:type="dxa"/>
              <w:start w:w="120" w:type="dxa"/>
              <w:bottom w:w="80" w:type="dxa"/>
              <w:end w:w="120" w:type="dxa"/>
            </w:tcMar>
          </w:tcPr>
          <w:p>
            <w:pPr>
              <w:suppressAutoHyphens w:val="true"/>
            </w:pPr>
            <w:r>
              <w:rPr>
                <w:sz w:val="18"/>
              </w:rPr>
              <w:t>Detector robustness</w:t>
            </w:r>
          </w:p>
        </w:tc>
        <w:tc>
          <w:tcPr>
            <w:tcW w:type="dxa" w:w="2100"/>
            <w:vAlign w:val="center"/>
            <w:tcMar>
              <w:top w:w="80" w:type="dxa"/>
              <w:start w:w="120" w:type="dxa"/>
              <w:bottom w:w="80" w:type="dxa"/>
              <w:end w:w="120" w:type="dxa"/>
            </w:tcMar>
          </w:tcPr>
          <w:p>
            <w:pPr>
              <w:suppressAutoHyphens w:val="true"/>
            </w:pPr>
            <w:r>
              <w:rPr>
                <w:sz w:val="18"/>
              </w:rPr>
              <w:t>ANOVA</w:t>
            </w:r>
          </w:p>
        </w:tc>
        <w:tc>
          <w:tcPr>
            <w:tcW w:type="dxa" w:w="2300"/>
            <w:vAlign w:val="center"/>
            <w:tcMar>
              <w:top w:w="80" w:type="dxa"/>
              <w:start w:w="120" w:type="dxa"/>
              <w:bottom w:w="80" w:type="dxa"/>
              <w:end w:w="120" w:type="dxa"/>
            </w:tcMar>
          </w:tcPr>
          <w:p>
            <w:pPr>
              <w:suppressAutoHyphens w:val="true"/>
            </w:pPr>
            <w:r>
              <w:rPr>
                <w:sz w:val="18"/>
              </w:rPr>
              <w:t>p = 0.997</w:t>
            </w:r>
          </w:p>
        </w:tc>
        <w:tc>
          <w:tcPr>
            <w:tcW w:type="dxa" w:w="2560"/>
            <w:vAlign w:val="center"/>
            <w:tcMar>
              <w:top w:w="80" w:type="dxa"/>
              <w:start w:w="120" w:type="dxa"/>
              <w:bottom w:w="80" w:type="dxa"/>
              <w:end w:w="120" w:type="dxa"/>
            </w:tcMar>
          </w:tcPr>
          <w:p>
            <w:pPr>
              <w:suppressAutoHyphens w:val="true"/>
            </w:pPr>
            <w:r>
              <w:rPr>
                <w:sz w:val="18"/>
              </w:rPr>
              <w:t>Detector choice does not explain result.</w:t>
            </w:r>
          </w:p>
        </w:tc>
      </w:tr>
      <w:tr>
        <w:tc>
          <w:tcPr>
            <w:tcW w:type="dxa" w:w="2400"/>
            <w:vAlign w:val="center"/>
            <w:tcMar>
              <w:top w:w="80" w:type="dxa"/>
              <w:start w:w="120" w:type="dxa"/>
              <w:bottom w:w="80" w:type="dxa"/>
              <w:end w:w="120" w:type="dxa"/>
            </w:tcMar>
          </w:tcPr>
          <w:p>
            <w:pPr>
              <w:suppressAutoHyphens w:val="true"/>
            </w:pPr>
            <w:r>
              <w:rPr>
                <w:sz w:val="18"/>
              </w:rPr>
              <w:t>Regime-conditional eta</w:t>
            </w:r>
          </w:p>
        </w:tc>
        <w:tc>
          <w:tcPr>
            <w:tcW w:type="dxa" w:w="2100"/>
            <w:vAlign w:val="center"/>
            <w:tcMar>
              <w:top w:w="80" w:type="dxa"/>
              <w:start w:w="120" w:type="dxa"/>
              <w:bottom w:w="80" w:type="dxa"/>
              <w:end w:w="120" w:type="dxa"/>
            </w:tcMar>
          </w:tcPr>
          <w:p>
            <w:pPr>
              <w:suppressAutoHyphens w:val="true"/>
            </w:pPr>
            <w:r>
              <w:rPr>
                <w:sz w:val="18"/>
              </w:rPr>
              <w:t>sigma_only vs combined Sharpe</w:t>
            </w:r>
          </w:p>
        </w:tc>
        <w:tc>
          <w:tcPr>
            <w:tcW w:type="dxa" w:w="2300"/>
            <w:vAlign w:val="center"/>
            <w:tcMar>
              <w:top w:w="80" w:type="dxa"/>
              <w:start w:w="120" w:type="dxa"/>
              <w:bottom w:w="80" w:type="dxa"/>
              <w:end w:w="120" w:type="dxa"/>
            </w:tcMar>
          </w:tcPr>
          <w:p>
            <w:pPr>
              <w:suppressAutoHyphens w:val="true"/>
            </w:pPr>
            <w:r>
              <w:rPr>
                <w:sz w:val="18"/>
              </w:rPr>
              <w:t>p = 0.0016</w:t>
            </w:r>
          </w:p>
        </w:tc>
        <w:tc>
          <w:tcPr>
            <w:tcW w:type="dxa" w:w="2560"/>
            <w:vAlign w:val="center"/>
            <w:tcMar>
              <w:top w:w="80" w:type="dxa"/>
              <w:start w:w="120" w:type="dxa"/>
              <w:bottom w:w="80" w:type="dxa"/>
              <w:end w:w="120" w:type="dxa"/>
            </w:tcMar>
          </w:tcPr>
          <w:p>
            <w:pPr>
              <w:suppressAutoHyphens w:val="true"/>
            </w:pPr>
            <w:r>
              <w:rPr>
                <w:sz w:val="18"/>
              </w:rPr>
              <w:t>Favors sigma_only.</w:t>
            </w:r>
          </w:p>
        </w:tc>
      </w:tr>
      <w:tr>
        <w:tc>
          <w:tcPr>
            <w:tcW w:type="dxa" w:w="2400"/>
            <w:vAlign w:val="center"/>
            <w:tcMar>
              <w:top w:w="80" w:type="dxa"/>
              <w:start w:w="120" w:type="dxa"/>
              <w:bottom w:w="80" w:type="dxa"/>
              <w:end w:w="120" w:type="dxa"/>
            </w:tcMar>
          </w:tcPr>
          <w:p>
            <w:pPr>
              <w:suppressAutoHyphens w:val="true"/>
            </w:pPr>
            <w:r>
              <w:rPr>
                <w:sz w:val="18"/>
              </w:rPr>
              <w:t>Mild misspecification</w:t>
            </w:r>
          </w:p>
        </w:tc>
        <w:tc>
          <w:tcPr>
            <w:tcW w:type="dxa" w:w="2100"/>
            <w:vAlign w:val="center"/>
            <w:tcMar>
              <w:top w:w="80" w:type="dxa"/>
              <w:start w:w="120" w:type="dxa"/>
              <w:bottom w:w="80" w:type="dxa"/>
              <w:end w:w="120" w:type="dxa"/>
            </w:tcMar>
          </w:tcPr>
          <w:p>
            <w:pPr>
              <w:suppressAutoHyphens w:val="true"/>
            </w:pPr>
            <w:r>
              <w:rPr>
                <w:sz w:val="18"/>
              </w:rPr>
              <w:t>sigma_only vs oracle_full Sharpe t-test</w:t>
            </w:r>
          </w:p>
        </w:tc>
        <w:tc>
          <w:tcPr>
            <w:tcW w:type="dxa" w:w="2300"/>
            <w:vAlign w:val="center"/>
            <w:tcMar>
              <w:top w:w="80" w:type="dxa"/>
              <w:start w:w="120" w:type="dxa"/>
              <w:bottom w:w="80" w:type="dxa"/>
              <w:end w:w="120" w:type="dxa"/>
            </w:tcMar>
          </w:tcPr>
          <w:p>
            <w:pPr>
              <w:suppressAutoHyphens w:val="true"/>
            </w:pPr>
            <w:r>
              <w:rPr>
                <w:sz w:val="18"/>
              </w:rPr>
              <w:t>p = 0.881</w:t>
            </w:r>
          </w:p>
        </w:tc>
        <w:tc>
          <w:tcPr>
            <w:tcW w:type="dxa" w:w="2560"/>
            <w:vAlign w:val="center"/>
            <w:tcMar>
              <w:top w:w="80" w:type="dxa"/>
              <w:start w:w="120" w:type="dxa"/>
              <w:bottom w:w="80" w:type="dxa"/>
              <w:end w:w="120" w:type="dxa"/>
            </w:tcMar>
          </w:tcPr>
          <w:p>
            <w:pPr>
              <w:suppressAutoHyphens w:val="true"/>
            </w:pPr>
            <w:r>
              <w:rPr>
                <w:sz w:val="18"/>
              </w:rPr>
              <w:t>No significant Sharpe difference.</w:t>
            </w:r>
          </w:p>
        </w:tc>
      </w:tr>
      <w:tr>
        <w:tc>
          <w:tcPr>
            <w:tcW w:type="dxa" w:w="2400"/>
            <w:vAlign w:val="center"/>
            <w:tcMar>
              <w:top w:w="80" w:type="dxa"/>
              <w:start w:w="120" w:type="dxa"/>
              <w:bottom w:w="80" w:type="dxa"/>
              <w:end w:w="120" w:type="dxa"/>
            </w:tcMar>
          </w:tcPr>
          <w:p>
            <w:pPr>
              <w:suppressAutoHyphens w:val="true"/>
            </w:pPr>
            <w:r>
              <w:rPr>
                <w:sz w:val="18"/>
              </w:rPr>
              <w:t>Mild misspecification</w:t>
            </w:r>
          </w:p>
        </w:tc>
        <w:tc>
          <w:tcPr>
            <w:tcW w:type="dxa" w:w="2100"/>
            <w:vAlign w:val="center"/>
            <w:tcMar>
              <w:top w:w="80" w:type="dxa"/>
              <w:start w:w="120" w:type="dxa"/>
              <w:bottom w:w="80" w:type="dxa"/>
              <w:end w:w="120" w:type="dxa"/>
            </w:tcMar>
          </w:tcPr>
          <w:p>
            <w:pPr>
              <w:suppressAutoHyphens w:val="true"/>
            </w:pPr>
            <w:r>
              <w:rPr>
                <w:sz w:val="18"/>
              </w:rPr>
              <w:t>TOST +/-0.05</w:t>
            </w:r>
          </w:p>
        </w:tc>
        <w:tc>
          <w:tcPr>
            <w:tcW w:type="dxa" w:w="2300"/>
            <w:vAlign w:val="center"/>
            <w:tcMar>
              <w:top w:w="80" w:type="dxa"/>
              <w:start w:w="120" w:type="dxa"/>
              <w:bottom w:w="80" w:type="dxa"/>
              <w:end w:w="120" w:type="dxa"/>
            </w:tcMar>
          </w:tcPr>
          <w:p>
            <w:pPr>
              <w:suppressAutoHyphens w:val="true"/>
            </w:pPr>
            <w:r>
              <w:rPr>
                <w:sz w:val="18"/>
              </w:rPr>
              <w:t>p = 0.042</w:t>
            </w:r>
          </w:p>
        </w:tc>
        <w:tc>
          <w:tcPr>
            <w:tcW w:type="dxa" w:w="2560"/>
            <w:vAlign w:val="center"/>
            <w:tcMar>
              <w:top w:w="80" w:type="dxa"/>
              <w:start w:w="120" w:type="dxa"/>
              <w:bottom w:w="80" w:type="dxa"/>
              <w:end w:w="120" w:type="dxa"/>
            </w:tcMar>
          </w:tcPr>
          <w:p>
            <w:pPr>
              <w:suppressAutoHyphens w:val="true"/>
            </w:pPr>
            <w:r>
              <w:rPr>
                <w:sz w:val="18"/>
              </w:rPr>
              <w:t>Practical equivalence supported.</w:t>
            </w:r>
          </w:p>
        </w:tc>
      </w:tr>
    </w:tbl>
    <w:p>
      <w:pPr>
        <w:suppressAutoHyphens w:val="true"/>
      </w:pPr>
    </w:p>
    <w:p>
      <w:pPr>
        <w:suppressAutoHyphens w:val="true"/>
      </w:pPr>
      <w:r>
        <w:t>The t-test results show no significant Sharpe improvement from explicit regime labels, while the TOST result provides positive evidence of practical equivalence under the stated bound.</w:t>
      </w:r>
    </w:p>
    <w:p>
      <w:pPr>
        <w:pStyle w:val="Heading2"/>
        <w:suppressAutoHyphens w:val="true"/>
      </w:pPr>
      <w:r>
        <w:t>8.3 Detector Robustness</w:t>
      </w:r>
    </w:p>
    <w:tbl>
      <w:tblPr>
        <w:tblStyle w:val="TableGrid"/>
        <w:tblW w:type="dxa" w:w="9360"/>
        <w:tblLook w:firstColumn="1" w:firstRow="1" w:lastColumn="0" w:lastRow="0" w:noHBand="0" w:noVBand="1" w:val="04A0"/>
        <w:tblInd w:w="120" w:type="dxa"/>
        <w:tblLayout w:type="fixed"/>
      </w:tblPr>
      <w:tblGrid>
        <w:gridCol w:w="1900"/>
        <w:gridCol w:w="4800"/>
        <w:gridCol w:w="2660"/>
      </w:tblGrid>
      <w:tr>
        <w:tc>
          <w:tcPr>
            <w:tcW w:type="dxa" w:w="1900"/>
            <w:shd w:fill="F2F4F7"/>
            <w:vAlign w:val="center"/>
            <w:tcMar>
              <w:top w:w="80" w:type="dxa"/>
              <w:start w:w="120" w:type="dxa"/>
              <w:bottom w:w="80" w:type="dxa"/>
              <w:end w:w="120" w:type="dxa"/>
            </w:tcMar>
          </w:tcPr>
          <w:p>
            <w:pPr>
              <w:suppressAutoHyphens w:val="true"/>
            </w:pPr>
            <w:r>
              <w:rPr>
                <w:b/>
                <w:sz w:val="18"/>
              </w:rPr>
              <w:t>Detector</w:t>
            </w:r>
          </w:p>
        </w:tc>
        <w:tc>
          <w:tcPr>
            <w:tcW w:type="dxa" w:w="4800"/>
            <w:shd w:fill="F2F4F7"/>
            <w:vAlign w:val="center"/>
            <w:tcMar>
              <w:top w:w="80" w:type="dxa"/>
              <w:start w:w="120" w:type="dxa"/>
              <w:bottom w:w="80" w:type="dxa"/>
              <w:end w:w="120" w:type="dxa"/>
            </w:tcMar>
          </w:tcPr>
          <w:p>
            <w:pPr>
              <w:suppressAutoHyphens w:val="true"/>
            </w:pPr>
            <w:r>
              <w:rPr>
                <w:b/>
                <w:sz w:val="18"/>
              </w:rPr>
              <w:t>Aware vs blind conclusion</w:t>
            </w:r>
          </w:p>
        </w:tc>
        <w:tc>
          <w:tcPr>
            <w:tcW w:type="dxa" w:w="2660"/>
            <w:shd w:fill="F2F4F7"/>
            <w:vAlign w:val="center"/>
            <w:tcMar>
              <w:top w:w="80" w:type="dxa"/>
              <w:start w:w="120" w:type="dxa"/>
              <w:bottom w:w="80" w:type="dxa"/>
              <w:end w:w="120" w:type="dxa"/>
            </w:tcMar>
          </w:tcPr>
          <w:p>
            <w:pPr>
              <w:suppressAutoHyphens w:val="true"/>
            </w:pPr>
            <w:r>
              <w:rPr>
                <w:b/>
                <w:sz w:val="18"/>
              </w:rPr>
              <w:t>Key statistic</w:t>
            </w:r>
          </w:p>
        </w:tc>
      </w:tr>
      <w:tr>
        <w:tc>
          <w:tcPr>
            <w:tcW w:type="dxa" w:w="1900"/>
            <w:vAlign w:val="center"/>
            <w:tcMar>
              <w:top w:w="80" w:type="dxa"/>
              <w:start w:w="120" w:type="dxa"/>
              <w:bottom w:w="80" w:type="dxa"/>
              <w:end w:w="120" w:type="dxa"/>
            </w:tcMar>
          </w:tcPr>
          <w:p>
            <w:pPr>
              <w:suppressAutoHyphens w:val="true"/>
            </w:pPr>
            <w:r>
              <w:rPr>
                <w:sz w:val="18"/>
              </w:rPr>
              <w:t>rv_baseline</w:t>
            </w:r>
          </w:p>
        </w:tc>
        <w:tc>
          <w:tcPr>
            <w:tcW w:type="dxa" w:w="4800"/>
            <w:vAlign w:val="center"/>
            <w:tcMar>
              <w:top w:w="80" w:type="dxa"/>
              <w:start w:w="120" w:type="dxa"/>
              <w:bottom w:w="80" w:type="dxa"/>
              <w:end w:w="120" w:type="dxa"/>
            </w:tcMar>
          </w:tcPr>
          <w:p>
            <w:pPr>
              <w:suppressAutoHyphens w:val="true"/>
            </w:pPr>
            <w:r>
              <w:rPr>
                <w:sz w:val="18"/>
              </w:rPr>
              <w:t>No reliable aware Sharpe advantage</w:t>
            </w:r>
          </w:p>
        </w:tc>
        <w:tc>
          <w:tcPr>
            <w:tcW w:type="dxa" w:w="2660"/>
            <w:vAlign w:val="center"/>
            <w:tcMar>
              <w:top w:w="80" w:type="dxa"/>
              <w:start w:w="120" w:type="dxa"/>
              <w:bottom w:w="80" w:type="dxa"/>
              <w:end w:w="120" w:type="dxa"/>
            </w:tcMar>
          </w:tcPr>
          <w:p>
            <w:pPr>
              <w:suppressAutoHyphens w:val="true"/>
            </w:pPr>
            <w:r>
              <w:rPr>
                <w:sz w:val="18"/>
              </w:rPr>
              <w:t>p = 0.1142</w:t>
            </w:r>
          </w:p>
        </w:tc>
      </w:tr>
      <w:tr>
        <w:tc>
          <w:tcPr>
            <w:tcW w:type="dxa" w:w="1900"/>
            <w:vAlign w:val="center"/>
            <w:tcMar>
              <w:top w:w="80" w:type="dxa"/>
              <w:start w:w="120" w:type="dxa"/>
              <w:bottom w:w="80" w:type="dxa"/>
              <w:end w:w="120" w:type="dxa"/>
            </w:tcMar>
          </w:tcPr>
          <w:p>
            <w:pPr>
              <w:suppressAutoHyphens w:val="true"/>
            </w:pPr>
            <w:r>
              <w:rPr>
                <w:sz w:val="18"/>
              </w:rPr>
              <w:t>rv_dwell</w:t>
            </w:r>
          </w:p>
        </w:tc>
        <w:tc>
          <w:tcPr>
            <w:tcW w:type="dxa" w:w="4800"/>
            <w:vAlign w:val="center"/>
            <w:tcMar>
              <w:top w:w="80" w:type="dxa"/>
              <w:start w:w="120" w:type="dxa"/>
              <w:bottom w:w="80" w:type="dxa"/>
              <w:end w:w="120" w:type="dxa"/>
            </w:tcMar>
          </w:tcPr>
          <w:p>
            <w:pPr>
              <w:suppressAutoHyphens w:val="true"/>
            </w:pPr>
            <w:r>
              <w:rPr>
                <w:sz w:val="18"/>
              </w:rPr>
              <w:t>No reliable aware Sharpe advantage</w:t>
            </w:r>
          </w:p>
        </w:tc>
        <w:tc>
          <w:tcPr>
            <w:tcW w:type="dxa" w:w="2660"/>
            <w:vAlign w:val="center"/>
            <w:tcMar>
              <w:top w:w="80" w:type="dxa"/>
              <w:start w:w="120" w:type="dxa"/>
              <w:bottom w:w="80" w:type="dxa"/>
              <w:end w:w="120" w:type="dxa"/>
            </w:tcMar>
          </w:tcPr>
          <w:p>
            <w:pPr>
              <w:suppressAutoHyphens w:val="true"/>
            </w:pPr>
            <w:r>
              <w:rPr>
                <w:sz w:val="18"/>
              </w:rPr>
              <w:t>p = 0.1095</w:t>
            </w:r>
          </w:p>
        </w:tc>
      </w:tr>
      <w:tr>
        <w:tc>
          <w:tcPr>
            <w:tcW w:type="dxa" w:w="1900"/>
            <w:vAlign w:val="center"/>
            <w:tcMar>
              <w:top w:w="80" w:type="dxa"/>
              <w:start w:w="120" w:type="dxa"/>
              <w:bottom w:w="80" w:type="dxa"/>
              <w:end w:w="120" w:type="dxa"/>
            </w:tcMar>
          </w:tcPr>
          <w:p>
            <w:pPr>
              <w:suppressAutoHyphens w:val="true"/>
            </w:pPr>
            <w:r>
              <w:rPr>
                <w:sz w:val="18"/>
              </w:rPr>
              <w:t>hmm</w:t>
            </w:r>
          </w:p>
        </w:tc>
        <w:tc>
          <w:tcPr>
            <w:tcW w:type="dxa" w:w="4800"/>
            <w:vAlign w:val="center"/>
            <w:tcMar>
              <w:top w:w="80" w:type="dxa"/>
              <w:start w:w="120" w:type="dxa"/>
              <w:bottom w:w="80" w:type="dxa"/>
              <w:end w:w="120" w:type="dxa"/>
            </w:tcMar>
          </w:tcPr>
          <w:p>
            <w:pPr>
              <w:suppressAutoHyphens w:val="true"/>
            </w:pPr>
            <w:r>
              <w:rPr>
                <w:sz w:val="18"/>
              </w:rPr>
              <w:t>No reliable aware Sharpe advantage despite higher accuracy</w:t>
            </w:r>
          </w:p>
        </w:tc>
        <w:tc>
          <w:tcPr>
            <w:tcW w:type="dxa" w:w="2660"/>
            <w:vAlign w:val="center"/>
            <w:tcMar>
              <w:top w:w="80" w:type="dxa"/>
              <w:start w:w="120" w:type="dxa"/>
              <w:bottom w:w="80" w:type="dxa"/>
              <w:end w:w="120" w:type="dxa"/>
            </w:tcMar>
          </w:tcPr>
          <w:p>
            <w:pPr>
              <w:suppressAutoHyphens w:val="true"/>
            </w:pPr>
            <w:r>
              <w:rPr>
                <w:sz w:val="18"/>
              </w:rPr>
              <w:t>p = 0.0822</w:t>
            </w:r>
          </w:p>
        </w:tc>
      </w:tr>
      <w:tr>
        <w:tc>
          <w:tcPr>
            <w:tcW w:type="dxa" w:w="1900"/>
            <w:vAlign w:val="center"/>
            <w:tcMar>
              <w:top w:w="80" w:type="dxa"/>
              <w:start w:w="120" w:type="dxa"/>
              <w:bottom w:w="80" w:type="dxa"/>
              <w:end w:w="120" w:type="dxa"/>
            </w:tcMar>
          </w:tcPr>
          <w:p>
            <w:pPr>
              <w:suppressAutoHyphens w:val="true"/>
            </w:pPr>
            <w:r>
              <w:rPr>
                <w:sz w:val="18"/>
              </w:rPr>
              <w:t>ANOVA</w:t>
            </w:r>
          </w:p>
        </w:tc>
        <w:tc>
          <w:tcPr>
            <w:tcW w:type="dxa" w:w="4800"/>
            <w:vAlign w:val="center"/>
            <w:tcMar>
              <w:top w:w="80" w:type="dxa"/>
              <w:start w:w="120" w:type="dxa"/>
              <w:bottom w:w="80" w:type="dxa"/>
              <w:end w:w="120" w:type="dxa"/>
            </w:tcMar>
          </w:tcPr>
          <w:p>
            <w:pPr>
              <w:suppressAutoHyphens w:val="true"/>
            </w:pPr>
            <w:r>
              <w:rPr>
                <w:sz w:val="18"/>
              </w:rPr>
              <w:t>Detector choice does not explain the result</w:t>
            </w:r>
          </w:p>
        </w:tc>
        <w:tc>
          <w:tcPr>
            <w:tcW w:type="dxa" w:w="2660"/>
            <w:vAlign w:val="center"/>
            <w:tcMar>
              <w:top w:w="80" w:type="dxa"/>
              <w:start w:w="120" w:type="dxa"/>
              <w:bottom w:w="80" w:type="dxa"/>
              <w:end w:w="120" w:type="dxa"/>
            </w:tcMar>
          </w:tcPr>
          <w:p>
            <w:pPr>
              <w:suppressAutoHyphens w:val="true"/>
            </w:pPr>
            <w:r>
              <w:rPr>
                <w:sz w:val="18"/>
              </w:rPr>
              <w:t>F = 0.0034, p = 0.9966</w:t>
            </w:r>
          </w:p>
        </w:tc>
      </w:tr>
    </w:tbl>
    <w:p>
      <w:pPr>
        <w:suppressAutoHyphens w:val="true"/>
      </w:pPr>
    </w:p>
    <w:p>
      <w:pPr>
        <w:suppressAutoHyphens w:val="true"/>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pPr>
        <w:suppressAutoHyphens w:val="true"/>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pPr>
        <w:keepNext/>
        <w:keepLines/>
        <w:jc w:val="center"/>
        <w:suppressAutoHyphens w:val="true"/>
      </w:pPr>
      <w:r>
        <w:drawing>
          <wp:inline xmlns:a="http://schemas.openxmlformats.org/drawingml/2006/main" xmlns:pic="http://schemas.openxmlformats.org/drawingml/2006/picture">
            <wp:extent cx="5257800" cy="3252707"/>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257800" cy="3252707"/>
                    </a:xfrm>
                    <a:prstGeom prst="rect"/>
                  </pic:spPr>
                </pic:pic>
              </a:graphicData>
            </a:graphic>
          </wp:inline>
        </w:drawing>
      </w:r>
    </w:p>
    <w:p>
      <w:pPr>
        <w:pStyle w:val="Caption"/>
        <w:keepLines/>
        <w:jc w:val="center"/>
        <w:suppressAutoHyphens w:val="true"/>
      </w:pPr>
      <w:r>
        <w:t>Figure 8.5. Detector robustness: rv_baseline, rv_dwell, and HMM all fail to create a reliable regime-aware PPO advantage.</w:t>
      </w:r>
    </w:p>
    <w:p>
      <w:pPr>
        <w:pStyle w:val="Heading2"/>
        <w:suppressAutoHyphens w:val="true"/>
      </w:pPr>
      <w:r>
        <w:t>8.4 Reward-Shaping and Misspecification Checks</w:t>
      </w:r>
    </w:p>
    <w:p>
      <w:pPr>
        <w:suppressAutoHyphens w:val="true"/>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pPr>
        <w:keepNext/>
        <w:keepLines/>
        <w:jc w:val="center"/>
        <w:suppressAutoHyphens w:val="true"/>
      </w:pPr>
      <w:r>
        <w:drawing>
          <wp:inline xmlns:a="http://schemas.openxmlformats.org/drawingml/2006/main" xmlns:pic="http://schemas.openxmlformats.org/drawingml/2006/picture">
            <wp:extent cx="5257800" cy="2185827"/>
            <wp:docPr id="6" name="Picture 6"/>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257800" cy="2185827"/>
                    </a:xfrm>
                    <a:prstGeom prst="rect"/>
                  </pic:spPr>
                </pic:pic>
              </a:graphicData>
            </a:graphic>
          </wp:inline>
        </w:drawing>
      </w:r>
    </w:p>
    <w:p>
      <w:pPr>
        <w:pStyle w:val="Caption"/>
        <w:keepLines/>
        <w:jc w:val="center"/>
        <w:suppressAutoHyphens w:val="true"/>
      </w:pPr>
      <w:r>
        <w:t>Figure 8.6. Regime-conditional eta summary: changing the reward channel by regime still favors sigma_only over combined.</w:t>
      </w:r>
    </w:p>
    <w:p>
      <w:pPr>
        <w:keepNext/>
        <w:keepLines/>
        <w:jc w:val="center"/>
        <w:suppressAutoHyphens w:val="true"/>
      </w:pPr>
      <w:r>
        <w:drawing>
          <wp:inline xmlns:a="http://schemas.openxmlformats.org/drawingml/2006/main" xmlns:pic="http://schemas.openxmlformats.org/drawingml/2006/picture">
            <wp:extent cx="5257800" cy="2971800"/>
            <wp:docPr id="7" name="Picture 7"/>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257800" cy="2971800"/>
                    </a:xfrm>
                    <a:prstGeom prst="rect"/>
                  </pic:spPr>
                </pic:pic>
              </a:graphicData>
            </a:graphic>
          </wp:inline>
        </w:drawing>
      </w:r>
    </w:p>
    <w:p>
      <w:pPr>
        <w:pStyle w:val="Caption"/>
        <w:keepLines/>
        <w:jc w:val="center"/>
        <w:suppressAutoHyphens w:val="true"/>
      </w:pPr>
      <w:r>
        <w:t>Figure 8.7. Mild model-misspecification summary: sigma_only and oracle_full remain close under regime-dependent execution parameters.</w:t>
      </w:r>
    </w:p>
    <w:p>
      <w:pPr>
        <w:pStyle w:val="Heading2"/>
        <w:suppressAutoHyphens w:val="true"/>
      </w:pPr>
      <w:r>
        <w:t>8.5 Experiment 5: Signal-Informativeness Sweep</w:t>
      </w:r>
    </w:p>
    <w:tbl>
      <w:tblPr>
        <w:tblStyle w:val="TableGrid"/>
        <w:tblW w:type="dxa" w:w="9360"/>
        <w:tblLook w:firstColumn="1" w:firstRow="1" w:lastColumn="0" w:lastRow="0" w:noHBand="0" w:noVBand="1" w:val="04A0"/>
        <w:tblInd w:w="120" w:type="dxa"/>
        <w:tblLayout w:type="fixed"/>
      </w:tblPr>
      <w:tblGrid>
        <w:gridCol w:w="1450"/>
        <w:gridCol w:w="1600"/>
        <w:gridCol w:w="1600"/>
        <w:gridCol w:w="1600"/>
        <w:gridCol w:w="1600"/>
        <w:gridCol w:w="1510"/>
      </w:tblGrid>
      <w:tr>
        <w:tc>
          <w:tcPr>
            <w:tcW w:type="dxa" w:w="1450"/>
            <w:shd w:fill="F2F4F7"/>
            <w:vAlign w:val="center"/>
            <w:tcMar>
              <w:top w:w="80" w:type="dxa"/>
              <w:start w:w="120" w:type="dxa"/>
              <w:bottom w:w="80" w:type="dxa"/>
              <w:end w:w="120" w:type="dxa"/>
            </w:tcMar>
          </w:tcPr>
          <w:p>
            <w:pPr>
              <w:suppressAutoHyphens w:val="true"/>
            </w:pPr>
            <w:r>
              <w:rPr>
                <w:b/>
                <w:sz w:val="18"/>
              </w:rPr>
              <w:t>condition</w:t>
            </w:r>
          </w:p>
        </w:tc>
        <w:tc>
          <w:tcPr>
            <w:tcW w:type="dxa" w:w="1600"/>
            <w:shd w:fill="F2F4F7"/>
            <w:vAlign w:val="center"/>
            <w:tcMar>
              <w:top w:w="80" w:type="dxa"/>
              <w:start w:w="120" w:type="dxa"/>
              <w:bottom w:w="80" w:type="dxa"/>
              <w:end w:w="120" w:type="dxa"/>
            </w:tcMar>
          </w:tcPr>
          <w:p>
            <w:pPr>
              <w:suppressAutoHyphens w:val="true"/>
            </w:pPr>
            <w:r>
              <w:rPr>
                <w:b/>
                <w:sz w:val="18"/>
              </w:rPr>
              <w:t>sigma_only</w:t>
            </w:r>
          </w:p>
        </w:tc>
        <w:tc>
          <w:tcPr>
            <w:tcW w:type="dxa" w:w="1600"/>
            <w:shd w:fill="F2F4F7"/>
            <w:vAlign w:val="center"/>
            <w:tcMar>
              <w:top w:w="80" w:type="dxa"/>
              <w:start w:w="120" w:type="dxa"/>
              <w:bottom w:w="80" w:type="dxa"/>
              <w:end w:w="120" w:type="dxa"/>
            </w:tcMar>
          </w:tcPr>
          <w:p>
            <w:pPr>
              <w:suppressAutoHyphens w:val="true"/>
            </w:pPr>
            <w:r>
              <w:rPr>
                <w:b/>
                <w:sz w:val="18"/>
              </w:rPr>
              <w:t>combined</w:t>
            </w:r>
          </w:p>
        </w:tc>
        <w:tc>
          <w:tcPr>
            <w:tcW w:type="dxa" w:w="1600"/>
            <w:shd w:fill="F2F4F7"/>
            <w:vAlign w:val="center"/>
            <w:tcMar>
              <w:top w:w="80" w:type="dxa"/>
              <w:start w:w="120" w:type="dxa"/>
              <w:bottom w:w="80" w:type="dxa"/>
              <w:end w:w="120" w:type="dxa"/>
            </w:tcMar>
          </w:tcPr>
          <w:p>
            <w:pPr>
              <w:suppressAutoHyphens w:val="true"/>
            </w:pPr>
            <w:r>
              <w:rPr>
                <w:b/>
                <w:sz w:val="18"/>
              </w:rPr>
              <w:t>regime_only</w:t>
            </w:r>
          </w:p>
        </w:tc>
        <w:tc>
          <w:tcPr>
            <w:tcW w:type="dxa" w:w="1600"/>
            <w:shd w:fill="F2F4F7"/>
            <w:vAlign w:val="center"/>
            <w:tcMar>
              <w:top w:w="80" w:type="dxa"/>
              <w:start w:w="120" w:type="dxa"/>
              <w:bottom w:w="80" w:type="dxa"/>
              <w:end w:w="120" w:type="dxa"/>
            </w:tcMar>
          </w:tcPr>
          <w:p>
            <w:pPr>
              <w:suppressAutoHyphens w:val="true"/>
            </w:pPr>
            <w:r>
              <w:rPr>
                <w:b/>
                <w:sz w:val="18"/>
              </w:rPr>
              <w:t>oracle_full</w:t>
            </w:r>
          </w:p>
        </w:tc>
        <w:tc>
          <w:tcPr>
            <w:tcW w:type="dxa" w:w="1510"/>
            <w:shd w:fill="F2F4F7"/>
            <w:vAlign w:val="center"/>
            <w:tcMar>
              <w:top w:w="80" w:type="dxa"/>
              <w:start w:w="120" w:type="dxa"/>
              <w:bottom w:w="80" w:type="dxa"/>
              <w:end w:w="120" w:type="dxa"/>
            </w:tcMar>
          </w:tcPr>
          <w:p>
            <w:pPr>
              <w:suppressAutoHyphens w:val="true"/>
            </w:pPr>
            <w:r>
              <w:rPr>
                <w:b/>
                <w:sz w:val="18"/>
              </w:rPr>
              <w:t>oracle_pure</w:t>
            </w:r>
          </w:p>
        </w:tc>
      </w:tr>
      <w:tr>
        <w:tc>
          <w:tcPr>
            <w:tcW w:type="dxa" w:w="1450"/>
            <w:vAlign w:val="center"/>
            <w:tcMar>
              <w:top w:w="80" w:type="dxa"/>
              <w:start w:w="120" w:type="dxa"/>
              <w:bottom w:w="80" w:type="dxa"/>
              <w:end w:w="120" w:type="dxa"/>
            </w:tcMar>
          </w:tcPr>
          <w:p>
            <w:pPr>
              <w:suppressAutoHyphens w:val="true"/>
            </w:pPr>
            <w:r>
              <w:rPr>
                <w:sz w:val="18"/>
              </w:rPr>
              <w:t>full</w:t>
            </w:r>
          </w:p>
        </w:tc>
        <w:tc>
          <w:tcPr>
            <w:tcW w:type="dxa" w:w="1600"/>
            <w:vAlign w:val="center"/>
            <w:tcMar>
              <w:top w:w="80" w:type="dxa"/>
              <w:start w:w="120" w:type="dxa"/>
              <w:bottom w:w="80" w:type="dxa"/>
              <w:end w:w="120" w:type="dxa"/>
            </w:tcMar>
          </w:tcPr>
          <w:p>
            <w:pPr>
              <w:suppressAutoHyphens w:val="true"/>
            </w:pPr>
            <w:r>
              <w:rPr>
                <w:sz w:val="18"/>
              </w:rPr>
              <w:t>0.7626 +/- 0.0596</w:t>
            </w:r>
          </w:p>
        </w:tc>
        <w:tc>
          <w:tcPr>
            <w:tcW w:type="dxa" w:w="1600"/>
            <w:vAlign w:val="center"/>
            <w:tcMar>
              <w:top w:w="80" w:type="dxa"/>
              <w:start w:w="120" w:type="dxa"/>
              <w:bottom w:w="80" w:type="dxa"/>
              <w:end w:w="120" w:type="dxa"/>
            </w:tcMar>
          </w:tcPr>
          <w:p>
            <w:pPr>
              <w:suppressAutoHyphens w:val="true"/>
            </w:pPr>
            <w:r>
              <w:rPr>
                <w:sz w:val="18"/>
              </w:rPr>
              <w:t>0.6898 +/- 0.0607</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0.6811 +/- 0.0697</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noisy</w:t>
            </w:r>
          </w:p>
        </w:tc>
        <w:tc>
          <w:tcPr>
            <w:tcW w:type="dxa" w:w="1600"/>
            <w:vAlign w:val="center"/>
            <w:tcMar>
              <w:top w:w="80" w:type="dxa"/>
              <w:start w:w="120" w:type="dxa"/>
              <w:bottom w:w="80" w:type="dxa"/>
              <w:end w:w="120" w:type="dxa"/>
            </w:tcMar>
          </w:tcPr>
          <w:p>
            <w:pPr>
              <w:suppressAutoHyphens w:val="true"/>
            </w:pPr>
            <w:r>
              <w:rPr>
                <w:sz w:val="18"/>
              </w:rPr>
              <w:t>0.7563 +/- 0.0616</w:t>
            </w:r>
          </w:p>
        </w:tc>
        <w:tc>
          <w:tcPr>
            <w:tcW w:type="dxa" w:w="1600"/>
            <w:vAlign w:val="center"/>
            <w:tcMar>
              <w:top w:w="80" w:type="dxa"/>
              <w:start w:w="120" w:type="dxa"/>
              <w:bottom w:w="80" w:type="dxa"/>
              <w:end w:w="120" w:type="dxa"/>
            </w:tcMar>
          </w:tcPr>
          <w:p>
            <w:pPr>
              <w:suppressAutoHyphens w:val="true"/>
            </w:pPr>
            <w:r>
              <w:rPr>
                <w:sz w:val="18"/>
              </w:rPr>
              <w:t>0.7125 +/- 0.0628</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0.6736 +/- 0.1013</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lagged</w:t>
            </w:r>
          </w:p>
        </w:tc>
        <w:tc>
          <w:tcPr>
            <w:tcW w:type="dxa" w:w="1600"/>
            <w:vAlign w:val="center"/>
            <w:tcMar>
              <w:top w:w="80" w:type="dxa"/>
              <w:start w:w="120" w:type="dxa"/>
              <w:bottom w:w="80" w:type="dxa"/>
              <w:end w:w="120" w:type="dxa"/>
            </w:tcMar>
          </w:tcPr>
          <w:p>
            <w:pPr>
              <w:suppressAutoHyphens w:val="true"/>
            </w:pPr>
            <w:r>
              <w:rPr>
                <w:sz w:val="18"/>
              </w:rPr>
              <w:t>0.7822 +/- 0.0454</w:t>
            </w:r>
          </w:p>
        </w:tc>
        <w:tc>
          <w:tcPr>
            <w:tcW w:type="dxa" w:w="1600"/>
            <w:vAlign w:val="center"/>
            <w:tcMar>
              <w:top w:w="80" w:type="dxa"/>
              <w:start w:w="120" w:type="dxa"/>
              <w:bottom w:w="80" w:type="dxa"/>
              <w:end w:w="120" w:type="dxa"/>
            </w:tcMar>
          </w:tcPr>
          <w:p>
            <w:pPr>
              <w:suppressAutoHyphens w:val="true"/>
            </w:pPr>
            <w:r>
              <w:rPr>
                <w:sz w:val="18"/>
              </w:rPr>
              <w:t>0.6812 +/- 0.0536</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0.7264 +/- 0.0686</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coarsened</w:t>
            </w:r>
          </w:p>
        </w:tc>
        <w:tc>
          <w:tcPr>
            <w:tcW w:type="dxa" w:w="1600"/>
            <w:vAlign w:val="center"/>
            <w:tcMar>
              <w:top w:w="80" w:type="dxa"/>
              <w:start w:w="120" w:type="dxa"/>
              <w:bottom w:w="80" w:type="dxa"/>
              <w:end w:w="120" w:type="dxa"/>
            </w:tcMar>
          </w:tcPr>
          <w:p>
            <w:pPr>
              <w:suppressAutoHyphens w:val="true"/>
            </w:pPr>
            <w:r>
              <w:rPr>
                <w:sz w:val="18"/>
              </w:rPr>
              <w:t>0.7827 +/- 0.0533</w:t>
            </w:r>
          </w:p>
        </w:tc>
        <w:tc>
          <w:tcPr>
            <w:tcW w:type="dxa" w:w="1600"/>
            <w:vAlign w:val="center"/>
            <w:tcMar>
              <w:top w:w="80" w:type="dxa"/>
              <w:start w:w="120" w:type="dxa"/>
              <w:bottom w:w="80" w:type="dxa"/>
              <w:end w:w="120" w:type="dxa"/>
            </w:tcMar>
          </w:tcPr>
          <w:p>
            <w:pPr>
              <w:suppressAutoHyphens w:val="true"/>
            </w:pPr>
            <w:r>
              <w:rPr>
                <w:sz w:val="18"/>
              </w:rPr>
              <w:t>0.6908 +/- 0.0827</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0.7447 +/- 0.0549</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none</w:t>
            </w:r>
          </w:p>
        </w:tc>
        <w:tc>
          <w:tcPr>
            <w:tcW w:type="dxa" w:w="1600"/>
            <w:vAlign w:val="center"/>
            <w:tcMar>
              <w:top w:w="80" w:type="dxa"/>
              <w:start w:w="120" w:type="dxa"/>
              <w:bottom w:w="80" w:type="dxa"/>
              <w:end w:w="120" w:type="dxa"/>
            </w:tcMar>
          </w:tcPr>
          <w:p>
            <w:pPr>
              <w:suppressAutoHyphens w:val="true"/>
            </w:pPr>
            <w:r>
              <w:rPr>
                <w:sz w:val="18"/>
              </w:rPr>
              <w:t>undefined</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0.6632 +/- 0.0769</w:t>
            </w:r>
          </w:p>
        </w:tc>
        <w:tc>
          <w:tcPr>
            <w:tcW w:type="dxa" w:w="1510"/>
            <w:vAlign w:val="center"/>
            <w:tcMar>
              <w:top w:w="80" w:type="dxa"/>
              <w:start w:w="120" w:type="dxa"/>
              <w:bottom w:w="80" w:type="dxa"/>
              <w:end w:w="120" w:type="dxa"/>
            </w:tcMar>
          </w:tcPr>
          <w:p>
            <w:pPr>
              <w:suppressAutoHyphens w:val="true"/>
            </w:pPr>
            <w:r>
              <w:rPr>
                <w:sz w:val="18"/>
              </w:rPr>
              <w:t>0.6632 +/- 0.0769</w:t>
            </w:r>
          </w:p>
        </w:tc>
      </w:tr>
    </w:tbl>
    <w:p>
      <w:pPr>
        <w:suppressAutoHyphens w:val="true"/>
      </w:pPr>
    </w:p>
    <w:p>
      <w:pPr>
        <w:suppressAutoHyphens w:val="true"/>
      </w:pPr>
      <w:r>
        <w:t>Entries are mean +/- 95% confidence-interval half-width across 20 seeds, not standard deviations.</w:t>
      </w:r>
    </w:p>
    <w:p>
      <w:pPr>
        <w:suppressAutoHyphens w:val="true"/>
      </w:pPr>
      <w:r>
        <w:t>Experiment 5, the Signal-Informativeness Sweep, did not support the original informativeness-threshold hypothesis within the tested calibration band. sigma_only remained high under informative conditions, while combined was directionally below sigma_only.</w:t>
      </w:r>
    </w:p>
    <w:p>
      <w:pPr>
        <w:suppressAutoHyphens w:val="true"/>
      </w:pPr>
      <w:r>
        <w:t>The Signal-Informativeness Sweep figures should be read as a refinement of the main finding rather than a new mechanism proof: they show that the tested sigma_hat degradation path did not reveal a regime-label advantage.</w:t>
      </w:r>
    </w:p>
    <w:p>
      <w:pPr>
        <w:keepNext/>
        <w:keepLines/>
        <w:jc w:val="center"/>
        <w:suppressAutoHyphens w:val="true"/>
      </w:pPr>
      <w:r>
        <w:drawing>
          <wp:inline xmlns:a="http://schemas.openxmlformats.org/drawingml/2006/main" xmlns:pic="http://schemas.openxmlformats.org/drawingml/2006/picture">
            <wp:extent cx="4800600" cy="3010495"/>
            <wp:docPr id="8" name="Picture 8"/>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4800600" cy="3010495"/>
                    </a:xfrm>
                    <a:prstGeom prst="rect"/>
                  </pic:spPr>
                </pic:pic>
              </a:graphicData>
            </a:graphic>
          </wp:inline>
        </w:drawing>
      </w:r>
    </w:p>
    <w:p>
      <w:pPr>
        <w:pStyle w:val="Caption"/>
        <w:keepLines/>
        <w:jc w:val="center"/>
        <w:suppressAutoHyphens w:val="true"/>
      </w:pPr>
      <w:r>
        <w:t>Figure 8.8. Experiment 5 monotonic-gap plot: the expected narrowing of the sigma_only versus combined gap does not appear in the tested calibration band.</w:t>
      </w:r>
    </w:p>
    <w:p>
      <w:pPr>
        <w:suppressAutoHyphens w:val="true"/>
      </w:pPr>
      <w:r>
        <w:t>The paired-seed views below show whether aggregate differences are broad across seeds or driven by a few runs.</w:t>
      </w:r>
    </w:p>
    <w:p>
      <w:pPr>
        <w:keepNext/>
        <w:keepLines/>
        <w:jc w:val="center"/>
        <w:suppressAutoHyphens w:val="true"/>
      </w:pPr>
      <w:r>
        <w:drawing>
          <wp:inline xmlns:a="http://schemas.openxmlformats.org/drawingml/2006/main" xmlns:pic="http://schemas.openxmlformats.org/drawingml/2006/picture">
            <wp:extent cx="4800600" cy="5111280"/>
            <wp:docPr id="9" name="Picture 9"/>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4800600" cy="5111280"/>
                    </a:xfrm>
                    <a:prstGeom prst="rect"/>
                  </pic:spPr>
                </pic:pic>
              </a:graphicData>
            </a:graphic>
          </wp:inline>
        </w:drawing>
      </w:r>
    </w:p>
    <w:p>
      <w:pPr>
        <w:pStyle w:val="Caption"/>
        <w:keepLines/>
        <w:jc w:val="center"/>
        <w:suppressAutoHyphens w:val="true"/>
      </w:pPr>
      <w:r>
        <w:t>Figure 8.9. Experiment 5 paired-seed combined versus sigma_only: combined is directionally below sigma_only in informative conditions.</w:t>
      </w:r>
    </w:p>
    <w:p>
      <w:pPr>
        <w:keepNext/>
        <w:keepLines/>
        <w:jc w:val="center"/>
        <w:suppressAutoHyphens w:val="true"/>
      </w:pPr>
      <w:r>
        <w:drawing>
          <wp:inline xmlns:a="http://schemas.openxmlformats.org/drawingml/2006/main" xmlns:pic="http://schemas.openxmlformats.org/drawingml/2006/picture">
            <wp:extent cx="4800600" cy="5111280"/>
            <wp:docPr id="10" name="Picture 10"/>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4800600" cy="5111280"/>
                    </a:xfrm>
                    <a:prstGeom prst="rect"/>
                  </pic:spPr>
                </pic:pic>
              </a:graphicData>
            </a:graphic>
          </wp:inline>
        </w:drawing>
      </w:r>
    </w:p>
    <w:p>
      <w:pPr>
        <w:pStyle w:val="Caption"/>
        <w:keepLines/>
        <w:jc w:val="center"/>
        <w:suppressAutoHyphens w:val="true"/>
      </w:pPr>
      <w:r>
        <w:t>Figure 8.10. Experiment 5 paired-seed combined versus regime_only: this diagnostic bounds how much sigma_hat is used inside the combined variant.</w:t>
      </w:r>
    </w:p>
    <w:p>
      <w:pPr>
        <w:pStyle w:val="Heading1"/>
        <w:suppressAutoHyphens w:val="true"/>
      </w:pPr>
      <w:r>
        <w:t>9 Evaluation Metrics</w:t>
      </w:r>
    </w:p>
    <w:p>
      <w:pPr>
        <w:pStyle w:val="Heading2"/>
        <w:suppressAutoHyphens w:val="true"/>
      </w:pPr>
      <w:r>
        <w:t>9.1 Final Equity</w:t>
      </w:r>
    </w:p>
    <w:p>
      <w:pPr>
        <w:suppressAutoHyphens w:val="true"/>
      </w:pPr>
      <w:r>
        <w:t>Final equity is the terminal marked-to-market wealth. It is economically meaningful but not sufficient alone because high raw equity can be earned by taking large inventory risk.</w:t>
      </w:r>
    </w:p>
    <w:p>
      <w:pPr>
        <w:pStyle w:val="Heading2"/>
        <w:suppressAutoHyphens w:val="true"/>
      </w:pPr>
      <w:r>
        <w:t>9.2 Sharpe-Like Ratio</w:t>
      </w:r>
    </w:p>
    <w:p>
      <w:pPr>
        <w:jc w:val="center"/>
        <w:suppressAutoHyphens w:val="true"/>
      </w:pPr>
      <w:r>
        <w:rPr>
          <w:rFonts w:ascii="Cambria Math" w:hAnsi="Cambria Math" w:eastAsia="Cambria Math"/>
          <w:b/>
          <w:sz w:val="22"/>
        </w:rPr>
        <w:t>(16)  Sharpe-like = mean(g_t) / std(g_t)</w:t>
      </w:r>
    </w:p>
    <w:p>
      <w:pPr>
        <w:suppressAutoHyphens w:val="true"/>
      </w:pPr>
      <w:r>
        <w:t>Here g_t denotes the logged per-step PnL or return-like series used by the project metric convention. This is the primary risk-adjusted performance metric.</w:t>
      </w:r>
    </w:p>
    <w:p>
      <w:pPr>
        <w:pStyle w:val="Heading2"/>
        <w:suppressAutoHyphens w:val="true"/>
      </w:pPr>
      <w:r>
        <w:t>9.3 Inventory Tail Risk</w:t>
      </w:r>
    </w:p>
    <w:p>
      <w:pPr>
        <w:jc w:val="center"/>
        <w:suppressAutoHyphens w:val="true"/>
      </w:pPr>
      <w:r>
        <w:rPr>
          <w:rFonts w:ascii="Cambria Math" w:hAnsi="Cambria Math" w:eastAsia="Cambria Math"/>
          <w:b/>
          <w:sz w:val="22"/>
        </w:rPr>
        <w:t>(17)  inv_p99 = percentile_99(|q_t|)</w:t>
      </w:r>
    </w:p>
    <w:p>
      <w:pPr>
        <w:suppressAutoHyphens w:val="true"/>
      </w:pPr>
      <w:r>
        <w:t>Here q_t is inventory. inv_p99 is a practical tail-risk diagnostic for whether a strategy earns returns by carrying large inventory.</w:t>
      </w:r>
    </w:p>
    <w:p>
      <w:pPr>
        <w:pStyle w:val="Heading2"/>
        <w:suppressAutoHyphens w:val="true"/>
      </w:pPr>
      <w:r>
        <w:t>9.4 Fill Rate</w:t>
      </w:r>
    </w:p>
    <w:p>
      <w:pPr>
        <w:jc w:val="center"/>
        <w:suppressAutoHyphens w:val="true"/>
      </w:pPr>
      <w:r>
        <w:rPr>
          <w:rFonts w:ascii="Cambria Math" w:hAnsi="Cambria Math" w:eastAsia="Cambria Math"/>
          <w:b/>
          <w:sz w:val="22"/>
        </w:rPr>
        <w:t>(18)  fill_rate = filled quote opportunities / total quote opportunities</w:t>
      </w:r>
    </w:p>
    <w:p>
      <w:pPr>
        <w:suppressAutoHyphens w:val="true"/>
      </w:pPr>
      <w:r>
        <w:t>The numerator and denominator follow the logged project convention. Fill rate is diagnostic rather than the primary thesis metric.</w:t>
      </w:r>
    </w:p>
    <w:p>
      <w:pPr>
        <w:pStyle w:val="Heading2"/>
        <w:suppressAutoHyphens w:val="true"/>
      </w:pPr>
      <w:r>
        <w:t>9.5 Paired t-Tests</w:t>
      </w:r>
    </w:p>
    <w:p>
      <w:pPr>
        <w:jc w:val="center"/>
        <w:suppressAutoHyphens w:val="true"/>
      </w:pPr>
      <w:r>
        <w:rPr>
          <w:rFonts w:ascii="Cambria Math" w:hAnsi="Cambria Math" w:eastAsia="Cambria Math"/>
          <w:b/>
          <w:sz w:val="22"/>
        </w:rPr>
        <w:t>(19)  t = mean(d_i) / (sd(d_i) / sqrt(n))</w:t>
      </w:r>
    </w:p>
    <w:p>
      <w:pPr>
        <w:suppressAutoHyphens w:val="true"/>
      </w:pPr>
      <w:r>
        <w:t>Here d_i is the paired seed-level difference between two strategies, sd(d_i) is its sample standard deviation, and n is the number of paired seeds.</w:t>
      </w:r>
    </w:p>
    <w:p>
      <w:pPr>
        <w:pStyle w:val="Heading2"/>
        <w:suppressAutoHyphens w:val="true"/>
      </w:pPr>
      <w:r>
        <w:t>9.6 TOST Equivalence Tests</w:t>
      </w:r>
    </w:p>
    <w:p>
      <w:pPr>
        <w:suppressAutoHyphens w:val="true"/>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pPr>
        <w:pStyle w:val="Heading1"/>
        <w:suppressAutoHyphens w:val="true"/>
      </w:pPr>
      <w:r>
        <w:t>10 Discussion</w:t>
      </w:r>
    </w:p>
    <w:p>
      <w:pPr>
        <w:pStyle w:val="Heading2"/>
        <w:suppressAutoHyphens w:val="true"/>
      </w:pPr>
      <w:r>
        <w:t>10.1 Main Interpretation: Signal Redundancy</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w:t>
      </w:r>
    </w:p>
    <w:p>
      <w:pPr>
        <w:suppressAutoHyphens w:val="true"/>
      </w:pPr>
      <w:r>
        <w:t>The interpretation is that the continuous realized-volatility proxy already supplies the economically useful volatility information needed by the policy in this environment. The categorical label may be coarser or redundant when presented alongside sigma_hat.</w:t>
      </w:r>
    </w:p>
    <w:p>
      <w:pPr>
        <w:pStyle w:val="Heading2"/>
        <w:suppressAutoHyphens w:val="true"/>
      </w:pPr>
      <w:r>
        <w:t>10.2 Why the Result Is Not a Weak Null</w:t>
      </w:r>
    </w:p>
    <w:p>
      <w:pPr>
        <w:suppressAutoHyphens w:val="true"/>
      </w:pPr>
      <w:r>
        <w:t>The conclusion does not rest only on p &gt; 0.05. It is supported by detector robustness, oracle labels, TOST equivalence, reward-channel checks, mild misspecification, and signal-degradation tests.</w:t>
      </w:r>
    </w:p>
    <w:p>
      <w:pPr>
        <w:pStyle w:val="Heading2"/>
        <w:suppressAutoHyphens w:val="true"/>
      </w:pPr>
      <w:r>
        <w:t>10.3 Synthetic-Market Boundary</w:t>
      </w:r>
    </w:p>
    <w:p>
      <w:pPr>
        <w:suppressAutoHyphens w:val="true"/>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pPr>
        <w:suppressAutoHyphens w:val="true"/>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pPr>
        <w:suppressAutoHyphens w:val="true"/>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pPr>
        <w:pStyle w:val="Heading2"/>
        <w:suppressAutoHyphens w:val="true"/>
      </w:pPr>
      <w:r>
        <w:t>10.4 Risks to Interpretation</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pPr>
              <w:suppressAutoHyphens w:val="true"/>
            </w:pPr>
            <w:r>
              <w:rPr>
                <w:b/>
                <w:sz w:val="18"/>
              </w:rPr>
              <w:t>Risk</w:t>
            </w:r>
          </w:p>
        </w:tc>
        <w:tc>
          <w:tcPr>
            <w:tcW w:type="dxa" w:w="6360"/>
            <w:shd w:fill="F2F4F7"/>
            <w:vAlign w:val="center"/>
            <w:tcMar>
              <w:top w:w="80" w:type="dxa"/>
              <w:start w:w="120" w:type="dxa"/>
              <w:bottom w:w="80" w:type="dxa"/>
              <w:end w:w="120" w:type="dxa"/>
            </w:tcMar>
          </w:tcPr>
          <w:p>
            <w:pPr>
              <w:suppressAutoHyphens w:val="true"/>
            </w:pPr>
            <w:r>
              <w:rPr>
                <w:b/>
                <w:sz w:val="18"/>
              </w:rPr>
              <w:t>Mitigation</w:t>
            </w:r>
          </w:p>
        </w:tc>
      </w:tr>
      <w:tr>
        <w:tc>
          <w:tcPr>
            <w:tcW w:type="dxa" w:w="3000"/>
            <w:vAlign w:val="center"/>
            <w:tcMar>
              <w:top w:w="80" w:type="dxa"/>
              <w:start w:w="120" w:type="dxa"/>
              <w:bottom w:w="80" w:type="dxa"/>
              <w:end w:w="120" w:type="dxa"/>
            </w:tcMar>
          </w:tcPr>
          <w:p>
            <w:pPr>
              <w:suppressAutoHyphens w:val="true"/>
            </w:pPr>
            <w:r>
              <w:rPr>
                <w:sz w:val="18"/>
              </w:rPr>
              <w:t>Overclaiming mechanism</w:t>
            </w:r>
          </w:p>
        </w:tc>
        <w:tc>
          <w:tcPr>
            <w:tcW w:type="dxa" w:w="6360"/>
            <w:vAlign w:val="center"/>
            <w:tcMar>
              <w:top w:w="80" w:type="dxa"/>
              <w:start w:w="120" w:type="dxa"/>
              <w:bottom w:w="80" w:type="dxa"/>
              <w:end w:w="120" w:type="dxa"/>
            </w:tcMar>
          </w:tcPr>
          <w:p>
            <w:pPr>
              <w:suppressAutoHyphens w:val="true"/>
            </w:pPr>
            <w:r>
              <w:rPr>
                <w:sz w:val="18"/>
              </w:rPr>
              <w:t>Use signal-redundancy and categorical-channel degradation as interpretations, not proofs of PPO internals.</w:t>
            </w:r>
          </w:p>
        </w:tc>
      </w:tr>
      <w:tr>
        <w:tc>
          <w:tcPr>
            <w:tcW w:type="dxa" w:w="3000"/>
            <w:vAlign w:val="center"/>
            <w:tcMar>
              <w:top w:w="80" w:type="dxa"/>
              <w:start w:w="120" w:type="dxa"/>
              <w:bottom w:w="80" w:type="dxa"/>
              <w:end w:w="120" w:type="dxa"/>
            </w:tcMar>
          </w:tcPr>
          <w:p>
            <w:pPr>
              <w:suppressAutoHyphens w:val="true"/>
            </w:pPr>
            <w:r>
              <w:rPr>
                <w:sz w:val="18"/>
              </w:rPr>
              <w:t>Detector causality confusion</w:t>
            </w:r>
          </w:p>
        </w:tc>
        <w:tc>
          <w:tcPr>
            <w:tcW w:type="dxa" w:w="6360"/>
            <w:vAlign w:val="center"/>
            <w:tcMar>
              <w:top w:w="80" w:type="dxa"/>
              <w:start w:w="120" w:type="dxa"/>
              <w:bottom w:w="80" w:type="dxa"/>
              <w:end w:w="120" w:type="dxa"/>
            </w:tcMar>
          </w:tcPr>
          <w:p>
            <w:pPr>
              <w:suppressAutoHyphens w:val="true"/>
            </w:pPr>
            <w:r>
              <w:rPr>
                <w:sz w:val="18"/>
              </w:rPr>
              <w:t>State that rv_baseline is the main causal detector and rv_dwell is auxiliary/offline.</w:t>
            </w:r>
          </w:p>
        </w:tc>
      </w:tr>
      <w:tr>
        <w:tc>
          <w:tcPr>
            <w:tcW w:type="dxa" w:w="3000"/>
            <w:vAlign w:val="center"/>
            <w:tcMar>
              <w:top w:w="80" w:type="dxa"/>
              <w:start w:w="120" w:type="dxa"/>
              <w:bottom w:w="80" w:type="dxa"/>
              <w:end w:w="120" w:type="dxa"/>
            </w:tcMar>
          </w:tcPr>
          <w:p>
            <w:pPr>
              <w:suppressAutoHyphens w:val="true"/>
            </w:pPr>
            <w:r>
              <w:rPr>
                <w:sz w:val="18"/>
              </w:rPr>
              <w:t>Synthetic external validity</w:t>
            </w:r>
          </w:p>
        </w:tc>
        <w:tc>
          <w:tcPr>
            <w:tcW w:type="dxa" w:w="6360"/>
            <w:vAlign w:val="center"/>
            <w:tcMar>
              <w:top w:w="80" w:type="dxa"/>
              <w:start w:w="120" w:type="dxa"/>
              <w:bottom w:w="80" w:type="dxa"/>
              <w:end w:w="120" w:type="dxa"/>
            </w:tcMar>
          </w:tcPr>
          <w:p>
            <w:pPr>
              <w:suppressAutoHyphens w:val="true"/>
            </w:pPr>
            <w:r>
              <w:rPr>
                <w:sz w:val="18"/>
              </w:rPr>
              <w:t>Frame all claims as controlled synthetic-market claims.</w:t>
            </w:r>
          </w:p>
        </w:tc>
      </w:tr>
      <w:tr>
        <w:tc>
          <w:tcPr>
            <w:tcW w:type="dxa" w:w="3000"/>
            <w:vAlign w:val="center"/>
            <w:tcMar>
              <w:top w:w="80" w:type="dxa"/>
              <w:start w:w="120" w:type="dxa"/>
              <w:bottom w:w="80" w:type="dxa"/>
              <w:end w:w="120" w:type="dxa"/>
            </w:tcMar>
          </w:tcPr>
          <w:p>
            <w:pPr>
              <w:suppressAutoHyphens w:val="true"/>
            </w:pPr>
            <w:r>
              <w:rPr>
                <w:sz w:val="18"/>
              </w:rPr>
              <w:t>Template over-compression</w:t>
            </w:r>
          </w:p>
        </w:tc>
        <w:tc>
          <w:tcPr>
            <w:tcW w:type="dxa" w:w="6360"/>
            <w:vAlign w:val="center"/>
            <w:tcMar>
              <w:top w:w="80" w:type="dxa"/>
              <w:start w:w="120" w:type="dxa"/>
              <w:bottom w:w="80" w:type="dxa"/>
              <w:end w:w="120" w:type="dxa"/>
            </w:tcMar>
          </w:tcPr>
          <w:p>
            <w:pPr>
              <w:suppressAutoHyphens w:val="true"/>
            </w:pPr>
            <w:r>
              <w:rPr>
                <w:sz w:val="18"/>
              </w:rPr>
              <w:t>Keep the literature and evidence spine, but map it into template headings.</w:t>
            </w:r>
          </w:p>
        </w:tc>
      </w:tr>
    </w:tbl>
    <w:p>
      <w:pPr>
        <w:suppressAutoHyphens w:val="true"/>
      </w:pPr>
    </w:p>
    <w:p>
      <w:pPr>
        <w:pStyle w:val="Heading2"/>
        <w:suppressAutoHyphens w:val="true"/>
      </w:pPr>
      <w:r>
        <w:t>10.5 Future Work</w:t>
      </w:r>
    </w:p>
    <w:p>
      <w:pPr>
        <w:suppressAutoHyphens w:val="true"/>
      </w:pPr>
      <w:r>
        <w:t>Evaluate stronger regime-dependent execution misspecification and richer non-stationary liquidity settings.</w:t>
      </w:r>
    </w:p>
    <w:p>
      <w:pPr>
        <w:suppressAutoHyphens w:val="true"/>
      </w:pPr>
      <w:r>
        <w:t>Test richer limit-order-book simulators with queue position, order-book imbalance, latency priority, adverse selection, and self-exciting order flow.</w:t>
      </w:r>
    </w:p>
    <w:p>
      <w:pPr>
        <w:suppressAutoHyphens w:val="true"/>
      </w:pPr>
      <w:r>
        <w:t>Use Hawkes-process LOB models and real-data evaluation after thesis scope, not as current claims of this report.</w:t>
      </w:r>
    </w:p>
    <w:p>
      <w:pPr>
        <w:suppressAutoHyphens w:val="true"/>
      </w:pPr>
      <w:r>
        <w:t>Run representation-level diagnostics only as future mechanism work.</w:t>
      </w:r>
    </w:p>
    <w:p>
      <w:pPr>
        <w:suppressAutoHyphens w:val="true"/>
      </w:pPr>
      <w:r>
        <w:t>Explore alternative observation encodings and policy architectures.</w:t>
      </w:r>
    </w:p>
    <w:p>
      <w:pPr>
        <w:pStyle w:val="Heading1"/>
        <w:suppressAutoHyphens w:val="true"/>
      </w:pPr>
      <w:r>
        <w:t>11 Reproducibility Checklist</w:t>
      </w:r>
    </w:p>
    <w:tbl>
      <w:tblPr>
        <w:tblStyle w:val="TableGrid"/>
        <w:tblW w:type="dxa" w:w="9360"/>
        <w:tblLook w:firstColumn="1" w:firstRow="1" w:lastColumn="0" w:lastRow="0" w:noHBand="0" w:noVBand="1" w:val="04A0"/>
        <w:tblInd w:w="120" w:type="dxa"/>
        <w:tblLayout w:type="fixed"/>
      </w:tblPr>
      <w:tblGrid>
        <w:gridCol w:w="2800"/>
        <w:gridCol w:w="6560"/>
      </w:tblGrid>
      <w:tr>
        <w:tc>
          <w:tcPr>
            <w:tcW w:type="dxa" w:w="2800"/>
            <w:shd w:fill="F2F4F7"/>
            <w:vAlign w:val="center"/>
            <w:tcMar>
              <w:top w:w="80" w:type="dxa"/>
              <w:start w:w="120" w:type="dxa"/>
              <w:bottom w:w="80" w:type="dxa"/>
              <w:end w:w="120" w:type="dxa"/>
            </w:tcMar>
          </w:tcPr>
          <w:p>
            <w:pPr>
              <w:suppressAutoHyphens w:val="true"/>
            </w:pPr>
            <w:r>
              <w:rPr>
                <w:b/>
                <w:sz w:val="18"/>
              </w:rPr>
              <w:t>Item</w:t>
            </w:r>
          </w:p>
        </w:tc>
        <w:tc>
          <w:tcPr>
            <w:tcW w:type="dxa" w:w="6560"/>
            <w:shd w:fill="F2F4F7"/>
            <w:vAlign w:val="center"/>
            <w:tcMar>
              <w:top w:w="80" w:type="dxa"/>
              <w:start w:w="120" w:type="dxa"/>
              <w:bottom w:w="80" w:type="dxa"/>
              <w:end w:w="120" w:type="dxa"/>
            </w:tcMar>
          </w:tcPr>
          <w:p>
            <w:pPr>
              <w:suppressAutoHyphens w:val="true"/>
            </w:pPr>
            <w:r>
              <w:rPr>
                <w:b/>
                <w:sz w:val="18"/>
              </w:rPr>
              <w:t>Status in thesis_33</w:t>
            </w:r>
          </w:p>
        </w:tc>
      </w:tr>
      <w:tr>
        <w:tc>
          <w:tcPr>
            <w:tcW w:type="dxa" w:w="2800"/>
            <w:vAlign w:val="center"/>
            <w:tcMar>
              <w:top w:w="80" w:type="dxa"/>
              <w:start w:w="120" w:type="dxa"/>
              <w:bottom w:w="80" w:type="dxa"/>
              <w:end w:w="120" w:type="dxa"/>
            </w:tcMar>
          </w:tcPr>
          <w:p>
            <w:pPr>
              <w:suppressAutoHyphens w:val="true"/>
            </w:pPr>
            <w:r>
              <w:rPr>
                <w:sz w:val="18"/>
              </w:rPr>
              <w:t>Frozen baseline</w:t>
            </w:r>
          </w:p>
        </w:tc>
        <w:tc>
          <w:tcPr>
            <w:tcW w:type="dxa" w:w="6560"/>
            <w:vAlign w:val="center"/>
            <w:tcMar>
              <w:top w:w="80" w:type="dxa"/>
              <w:start w:w="120" w:type="dxa"/>
              <w:bottom w:w="80" w:type="dxa"/>
              <w:end w:w="120" w:type="dxa"/>
            </w:tcMar>
          </w:tcPr>
          <w:p>
            <w:pPr>
              <w:suppressAutoHyphens w:val="true"/>
            </w:pPr>
            <w:r>
              <w:rPr>
                <w:sz w:val="18"/>
              </w:rPr>
              <w:t>thesis-v29-frozen tag; commit 9681faa; thesis_29 remains untouched.</w:t>
            </w:r>
          </w:p>
        </w:tc>
      </w:tr>
      <w:tr>
        <w:tc>
          <w:tcPr>
            <w:tcW w:type="dxa" w:w="2800"/>
            <w:vAlign w:val="center"/>
            <w:tcMar>
              <w:top w:w="80" w:type="dxa"/>
              <w:start w:w="120" w:type="dxa"/>
              <w:bottom w:w="80" w:type="dxa"/>
              <w:end w:w="120" w:type="dxa"/>
            </w:tcMar>
          </w:tcPr>
          <w:p>
            <w:pPr>
              <w:suppressAutoHyphens w:val="true"/>
            </w:pPr>
            <w:r>
              <w:rPr>
                <w:sz w:val="18"/>
              </w:rPr>
              <w:t>Template draft</w:t>
            </w:r>
          </w:p>
        </w:tc>
        <w:tc>
          <w:tcPr>
            <w:tcW w:type="dxa" w:w="6560"/>
            <w:vAlign w:val="center"/>
            <w:tcMar>
              <w:top w:w="80" w:type="dxa"/>
              <w:start w:w="120" w:type="dxa"/>
              <w:bottom w:w="80" w:type="dxa"/>
              <w:end w:w="120" w:type="dxa"/>
            </w:tcMar>
          </w:tcPr>
          <w:p>
            <w:pPr>
              <w:suppressAutoHyphens w:val="true"/>
            </w:pPr>
            <w:r>
              <w:rPr>
                <w:sz w:val="18"/>
              </w:rPr>
              <w:t>thesis_33 is a new template-adapted draft, not a replacement for thesis_29 or thesis_30.</w:t>
            </w:r>
          </w:p>
        </w:tc>
      </w:tr>
      <w:tr>
        <w:tc>
          <w:tcPr>
            <w:tcW w:type="dxa" w:w="2800"/>
            <w:vAlign w:val="center"/>
            <w:tcMar>
              <w:top w:w="80" w:type="dxa"/>
              <w:start w:w="120" w:type="dxa"/>
              <w:bottom w:w="80" w:type="dxa"/>
              <w:end w:w="120" w:type="dxa"/>
            </w:tcMar>
          </w:tcPr>
          <w:p>
            <w:pPr>
              <w:suppressAutoHyphens w:val="true"/>
            </w:pPr>
            <w:r>
              <w:rPr>
                <w:sz w:val="18"/>
              </w:rPr>
              <w:t>Run ID structure</w:t>
            </w:r>
          </w:p>
        </w:tc>
        <w:tc>
          <w:tcPr>
            <w:tcW w:type="dxa" w:w="6560"/>
            <w:vAlign w:val="center"/>
            <w:tcMar>
              <w:top w:w="80" w:type="dxa"/>
              <w:start w:w="120" w:type="dxa"/>
              <w:bottom w:w="80" w:type="dxa"/>
              <w:end w:w="120" w:type="dxa"/>
            </w:tcMar>
          </w:tcPr>
          <w:p>
            <w:pPr>
              <w:suppressAutoHyphens w:val="true"/>
            </w:pPr>
            <w:r>
              <w:rPr>
                <w:sz w:val="18"/>
              </w:rPr>
              <w:t>YYYYMMDD-HHMMSS_seed&lt;S&gt;_&lt;TAG&gt;_&lt;COMMIT&gt;.</w:t>
            </w:r>
          </w:p>
        </w:tc>
      </w:tr>
      <w:tr>
        <w:tc>
          <w:tcPr>
            <w:tcW w:type="dxa" w:w="2800"/>
            <w:vAlign w:val="center"/>
            <w:tcMar>
              <w:top w:w="80" w:type="dxa"/>
              <w:start w:w="120" w:type="dxa"/>
              <w:bottom w:w="80" w:type="dxa"/>
              <w:end w:w="120" w:type="dxa"/>
            </w:tcMar>
          </w:tcPr>
          <w:p>
            <w:pPr>
              <w:suppressAutoHyphens w:val="true"/>
            </w:pPr>
            <w:r>
              <w:rPr>
                <w:sz w:val="18"/>
              </w:rPr>
              <w:t>Config snapshots</w:t>
            </w:r>
          </w:p>
        </w:tc>
        <w:tc>
          <w:tcPr>
            <w:tcW w:type="dxa" w:w="6560"/>
            <w:vAlign w:val="center"/>
            <w:tcMar>
              <w:top w:w="80" w:type="dxa"/>
              <w:start w:w="120" w:type="dxa"/>
              <w:bottom w:w="80" w:type="dxa"/>
              <w:end w:w="120" w:type="dxa"/>
            </w:tcMar>
          </w:tcPr>
          <w:p>
            <w:pPr>
              <w:suppressAutoHyphens w:val="true"/>
            </w:pPr>
            <w:r>
              <w:rPr>
                <w:sz w:val="18"/>
              </w:rPr>
              <w:t>Every run snapshots config; config_snapshot_all.md inventories active config files.</w:t>
            </w:r>
          </w:p>
        </w:tc>
      </w:tr>
      <w:tr>
        <w:tc>
          <w:tcPr>
            <w:tcW w:type="dxa" w:w="2800"/>
            <w:vAlign w:val="center"/>
            <w:tcMar>
              <w:top w:w="80" w:type="dxa"/>
              <w:start w:w="120" w:type="dxa"/>
              <w:bottom w:w="80" w:type="dxa"/>
              <w:end w:w="120" w:type="dxa"/>
            </w:tcMar>
          </w:tcPr>
          <w:p>
            <w:pPr>
              <w:suppressAutoHyphens w:val="true"/>
            </w:pPr>
            <w:r>
              <w:rPr>
                <w:sz w:val="18"/>
              </w:rPr>
              <w:t>Seeds</w:t>
            </w:r>
          </w:p>
        </w:tc>
        <w:tc>
          <w:tcPr>
            <w:tcW w:type="dxa" w:w="6560"/>
            <w:vAlign w:val="center"/>
            <w:tcMar>
              <w:top w:w="80" w:type="dxa"/>
              <w:start w:w="120" w:type="dxa"/>
              <w:bottom w:w="80" w:type="dxa"/>
              <w:end w:w="120" w:type="dxa"/>
            </w:tcMar>
          </w:tcPr>
          <w:p>
            <w:pPr>
              <w:suppressAutoHyphens w:val="true"/>
            </w:pPr>
            <w:r>
              <w:rPr>
                <w:sz w:val="18"/>
              </w:rPr>
              <w:t>WP5 main uses seeds 1-20; WP6 full uses seeds 42-61.</w:t>
            </w:r>
          </w:p>
        </w:tc>
      </w:tr>
      <w:tr>
        <w:tc>
          <w:tcPr>
            <w:tcW w:type="dxa" w:w="2800"/>
            <w:vAlign w:val="center"/>
            <w:tcMar>
              <w:top w:w="80" w:type="dxa"/>
              <w:start w:w="120" w:type="dxa"/>
              <w:bottom w:w="80" w:type="dxa"/>
              <w:end w:w="120" w:type="dxa"/>
            </w:tcMar>
          </w:tcPr>
          <w:p>
            <w:pPr>
              <w:suppressAutoHyphens w:val="true"/>
            </w:pPr>
            <w:r>
              <w:rPr>
                <w:sz w:val="18"/>
              </w:rPr>
              <w:t>Train/test split</w:t>
            </w:r>
          </w:p>
        </w:tc>
        <w:tc>
          <w:tcPr>
            <w:tcW w:type="dxa" w:w="6560"/>
            <w:vAlign w:val="center"/>
            <w:tcMar>
              <w:top w:w="80" w:type="dxa"/>
              <w:start w:w="120" w:type="dxa"/>
              <w:bottom w:w="80" w:type="dxa"/>
              <w:end w:w="120" w:type="dxa"/>
            </w:tcMar>
          </w:tcPr>
          <w:p>
            <w:pPr>
              <w:suppressAutoHyphens w:val="true"/>
            </w:pPr>
            <w:r>
              <w:rPr>
                <w:sz w:val="18"/>
              </w:rPr>
              <w:t>70/30 chronological split on exogenous synthetic series.</w:t>
            </w:r>
          </w:p>
        </w:tc>
      </w:tr>
      <w:tr>
        <w:tc>
          <w:tcPr>
            <w:tcW w:type="dxa" w:w="2800"/>
            <w:vAlign w:val="center"/>
            <w:tcMar>
              <w:top w:w="80" w:type="dxa"/>
              <w:start w:w="120" w:type="dxa"/>
              <w:bottom w:w="80" w:type="dxa"/>
              <w:end w:w="120" w:type="dxa"/>
            </w:tcMar>
          </w:tcPr>
          <w:p>
            <w:pPr>
              <w:suppressAutoHyphens w:val="true"/>
            </w:pPr>
            <w:r>
              <w:rPr>
                <w:sz w:val="18"/>
              </w:rPr>
              <w:t>Evidence manifest</w:t>
            </w:r>
          </w:p>
        </w:tc>
        <w:tc>
          <w:tcPr>
            <w:tcW w:type="dxa" w:w="6560"/>
            <w:vAlign w:val="center"/>
            <w:tcMar>
              <w:top w:w="80" w:type="dxa"/>
              <w:start w:w="120" w:type="dxa"/>
              <w:bottom w:w="80" w:type="dxa"/>
              <w:end w:w="120" w:type="dxa"/>
            </w:tcMar>
          </w:tcPr>
          <w:p>
            <w:pPr>
              <w:suppressAutoHyphens w:val="true"/>
            </w:pPr>
            <w:r>
              <w:rPr>
                <w:sz w:val="18"/>
              </w:rPr>
              <w:t>EVIDENCE_MANIFEST.md records protected evidence and remediation invariants.</w:t>
            </w:r>
          </w:p>
        </w:tc>
      </w:tr>
      <w:tr>
        <w:tc>
          <w:tcPr>
            <w:tcW w:type="dxa" w:w="2800"/>
            <w:vAlign w:val="center"/>
            <w:tcMar>
              <w:top w:w="80" w:type="dxa"/>
              <w:start w:w="120" w:type="dxa"/>
              <w:bottom w:w="80" w:type="dxa"/>
              <w:end w:w="120" w:type="dxa"/>
            </w:tcMar>
          </w:tcPr>
          <w:p>
            <w:pPr>
              <w:suppressAutoHyphens w:val="true"/>
            </w:pPr>
            <w:r>
              <w:rPr>
                <w:sz w:val="18"/>
              </w:rPr>
              <w:t>Protected CSV hashes</w:t>
            </w:r>
          </w:p>
        </w:tc>
        <w:tc>
          <w:tcPr>
            <w:tcW w:type="dxa" w:w="6560"/>
            <w:vAlign w:val="center"/>
            <w:tcMar>
              <w:top w:w="80" w:type="dxa"/>
              <w:start w:w="120" w:type="dxa"/>
              <w:bottom w:w="80" w:type="dxa"/>
              <w:end w:w="120" w:type="dxa"/>
            </w:tcMar>
          </w:tcPr>
          <w:p>
            <w:pPr>
              <w:suppressAutoHyphens w:val="true"/>
            </w:pPr>
            <w:r>
              <w:rPr>
                <w:sz w:val="18"/>
              </w:rPr>
              <w:t>Listed below and verified by file hash checks.</w:t>
            </w:r>
          </w:p>
        </w:tc>
      </w:tr>
      <w:tr>
        <w:tc>
          <w:tcPr>
            <w:tcW w:type="dxa" w:w="2800"/>
            <w:vAlign w:val="center"/>
            <w:tcMar>
              <w:top w:w="80" w:type="dxa"/>
              <w:start w:w="120" w:type="dxa"/>
              <w:bottom w:w="80" w:type="dxa"/>
              <w:end w:w="120" w:type="dxa"/>
            </w:tcMar>
          </w:tcPr>
          <w:p>
            <w:pPr>
              <w:suppressAutoHyphens w:val="true"/>
            </w:pPr>
            <w:r>
              <w:rPr>
                <w:sz w:val="18"/>
              </w:rPr>
              <w:t>Codebase snapshot</w:t>
            </w:r>
          </w:p>
        </w:tc>
        <w:tc>
          <w:tcPr>
            <w:tcW w:type="dxa" w:w="6560"/>
            <w:vAlign w:val="center"/>
            <w:tcMar>
              <w:top w:w="80" w:type="dxa"/>
              <w:start w:w="120" w:type="dxa"/>
              <w:bottom w:w="80" w:type="dxa"/>
              <w:end w:w="120" w:type="dxa"/>
            </w:tcMar>
          </w:tcPr>
          <w:p>
            <w:pPr>
              <w:suppressAutoHyphens w:val="true"/>
            </w:pPr>
            <w:r>
              <w:rPr>
                <w:sz w:val="18"/>
              </w:rPr>
              <w:t>docs/internal/codebase_snapshot.py.</w:t>
            </w:r>
          </w:p>
        </w:tc>
      </w:tr>
      <w:tr>
        <w:tc>
          <w:tcPr>
            <w:tcW w:type="dxa" w:w="2800"/>
            <w:vAlign w:val="center"/>
            <w:tcMar>
              <w:top w:w="80" w:type="dxa"/>
              <w:start w:w="120" w:type="dxa"/>
              <w:bottom w:w="80" w:type="dxa"/>
              <w:end w:w="120" w:type="dxa"/>
            </w:tcMar>
          </w:tcPr>
          <w:p>
            <w:pPr>
              <w:suppressAutoHyphens w:val="true"/>
            </w:pPr>
            <w:r>
              <w:rPr>
                <w:sz w:val="18"/>
              </w:rPr>
              <w:t>No-rerun policy</w:t>
            </w:r>
          </w:p>
        </w:tc>
        <w:tc>
          <w:tcPr>
            <w:tcW w:type="dxa" w:w="6560"/>
            <w:vAlign w:val="center"/>
            <w:tcMar>
              <w:top w:w="80" w:type="dxa"/>
              <w:start w:w="120" w:type="dxa"/>
              <w:bottom w:w="80" w:type="dxa"/>
              <w:end w:w="120" w:type="dxa"/>
            </w:tcMar>
          </w:tcPr>
          <w:p>
            <w:pPr>
              <w:suppressAutoHyphens w:val="true"/>
            </w:pPr>
            <w:r>
              <w:rPr>
                <w:sz w:val="18"/>
              </w:rPr>
              <w:t>No PPO/WP5/WP6 reruns and no frozen evidence-figure regeneration; only the methodology-only synthetic-environment illustration was generated.</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5300"/>
        <w:gridCol w:w="2300"/>
        <w:gridCol w:w="1760"/>
      </w:tblGrid>
      <w:tr>
        <w:tc>
          <w:tcPr>
            <w:tcW w:type="dxa" w:w="5300"/>
            <w:shd w:fill="F2F4F7"/>
            <w:vAlign w:val="center"/>
            <w:tcMar>
              <w:top w:w="80" w:type="dxa"/>
              <w:start w:w="120" w:type="dxa"/>
              <w:bottom w:w="80" w:type="dxa"/>
              <w:end w:w="120" w:type="dxa"/>
            </w:tcMar>
          </w:tcPr>
          <w:p>
            <w:pPr>
              <w:suppressAutoHyphens w:val="true"/>
            </w:pPr>
            <w:r>
              <w:rPr>
                <w:b/>
                <w:sz w:val="18"/>
              </w:rPr>
              <w:t>Protected artifact</w:t>
            </w:r>
          </w:p>
        </w:tc>
        <w:tc>
          <w:tcPr>
            <w:tcW w:type="dxa" w:w="2300"/>
            <w:shd w:fill="F2F4F7"/>
            <w:vAlign w:val="center"/>
            <w:tcMar>
              <w:top w:w="80" w:type="dxa"/>
              <w:start w:w="120" w:type="dxa"/>
              <w:bottom w:w="80" w:type="dxa"/>
              <w:end w:w="120" w:type="dxa"/>
            </w:tcMar>
          </w:tcPr>
          <w:p>
            <w:pPr>
              <w:suppressAutoHyphens w:val="true"/>
            </w:pPr>
            <w:r>
              <w:rPr>
                <w:b/>
                <w:sz w:val="18"/>
              </w:rPr>
              <w:t>Expected SHA256</w:t>
            </w:r>
          </w:p>
        </w:tc>
        <w:tc>
          <w:tcPr>
            <w:tcW w:type="dxa" w:w="1760"/>
            <w:shd w:fill="F2F4F7"/>
            <w:vAlign w:val="center"/>
            <w:tcMar>
              <w:top w:w="80" w:type="dxa"/>
              <w:start w:w="120" w:type="dxa"/>
              <w:bottom w:w="80" w:type="dxa"/>
              <w:end w:w="120" w:type="dxa"/>
            </w:tcMar>
          </w:tcPr>
          <w:p>
            <w:pPr>
              <w:suppressAutoHyphens w:val="true"/>
            </w:pPr>
            <w:r>
              <w:rPr>
                <w:b/>
                <w:sz w:val="18"/>
              </w:rPr>
              <w:t>Check</w:t>
            </w:r>
          </w:p>
        </w:tc>
      </w:tr>
      <w:tr>
        <w:tc>
          <w:tcPr>
            <w:tcW w:type="dxa" w:w="5300"/>
            <w:vAlign w:val="center"/>
            <w:tcMar>
              <w:top w:w="80" w:type="dxa"/>
              <w:start w:w="120" w:type="dxa"/>
              <w:bottom w:w="80" w:type="dxa"/>
              <w:end w:w="120" w:type="dxa"/>
            </w:tcMar>
          </w:tcPr>
          <w:p>
            <w:pPr>
              <w:suppressAutoHyphens w:val="true"/>
            </w:pPr>
            <w:r>
              <w:rPr>
                <w:sz w:val="18"/>
              </w:rPr>
              <w:t>results/metrics_detector_compare.csv</w:t>
            </w:r>
          </w:p>
        </w:tc>
        <w:tc>
          <w:tcPr>
            <w:tcW w:type="dxa" w:w="2300"/>
            <w:vAlign w:val="center"/>
            <w:tcMar>
              <w:top w:w="80" w:type="dxa"/>
              <w:start w:w="120" w:type="dxa"/>
              <w:bottom w:w="80" w:type="dxa"/>
              <w:end w:w="120" w:type="dxa"/>
            </w:tcMar>
          </w:tcPr>
          <w:p>
            <w:pPr>
              <w:suppressAutoHyphens w:val="true"/>
            </w:pPr>
            <w:r>
              <w:rPr>
                <w:sz w:val="18"/>
              </w:rPr>
              <w:t>28E7AD40BB47...</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docs/internal/wp6_sweep_full/summary_condition_variant.csv</w:t>
            </w:r>
          </w:p>
        </w:tc>
        <w:tc>
          <w:tcPr>
            <w:tcW w:type="dxa" w:w="2300"/>
            <w:vAlign w:val="center"/>
            <w:tcMar>
              <w:top w:w="80" w:type="dxa"/>
              <w:start w:w="120" w:type="dxa"/>
              <w:bottom w:w="80" w:type="dxa"/>
              <w:end w:w="120" w:type="dxa"/>
            </w:tcMar>
          </w:tcPr>
          <w:p>
            <w:pPr>
              <w:suppressAutoHyphens w:val="true"/>
            </w:pPr>
            <w:r>
              <w:rPr>
                <w:sz w:val="18"/>
              </w:rPr>
              <w:t>6DD627E81637...</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docs/internal/wp6_sweep_full/summary_paired_combined_vs_sigma.csv</w:t>
            </w:r>
          </w:p>
        </w:tc>
        <w:tc>
          <w:tcPr>
            <w:tcW w:type="dxa" w:w="2300"/>
            <w:vAlign w:val="center"/>
            <w:tcMar>
              <w:top w:w="80" w:type="dxa"/>
              <w:start w:w="120" w:type="dxa"/>
              <w:bottom w:w="80" w:type="dxa"/>
              <w:end w:w="120" w:type="dxa"/>
            </w:tcMar>
          </w:tcPr>
          <w:p>
            <w:pPr>
              <w:suppressAutoHyphens w:val="true"/>
            </w:pPr>
            <w:r>
              <w:rPr>
                <w:sz w:val="18"/>
              </w:rPr>
              <w:t>4BABCAAACE1D...</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docs/internal/wp6_sweep_full/summary_paired_combined_vs_regime.csv</w:t>
            </w:r>
          </w:p>
        </w:tc>
        <w:tc>
          <w:tcPr>
            <w:tcW w:type="dxa" w:w="2300"/>
            <w:vAlign w:val="center"/>
            <w:tcMar>
              <w:top w:w="80" w:type="dxa"/>
              <w:start w:w="120" w:type="dxa"/>
              <w:bottom w:w="80" w:type="dxa"/>
              <w:end w:w="120" w:type="dxa"/>
            </w:tcMar>
          </w:tcPr>
          <w:p>
            <w:pPr>
              <w:suppressAutoHyphens w:val="true"/>
            </w:pPr>
            <w:r>
              <w:rPr>
                <w:sz w:val="18"/>
              </w:rPr>
              <w:t>2087FEFBE5DC...</w:t>
            </w:r>
          </w:p>
        </w:tc>
        <w:tc>
          <w:tcPr>
            <w:tcW w:type="dxa" w:w="1760"/>
            <w:vAlign w:val="center"/>
            <w:tcMar>
              <w:top w:w="80" w:type="dxa"/>
              <w:start w:w="120" w:type="dxa"/>
              <w:bottom w:w="80" w:type="dxa"/>
              <w:end w:w="120" w:type="dxa"/>
            </w:tcMar>
          </w:tcPr>
          <w:p>
            <w:pPr>
              <w:suppressAutoHyphens w:val="true"/>
            </w:pPr>
            <w:r>
              <w:rPr>
                <w:sz w:val="18"/>
              </w:rPr>
              <w:t>MATCH</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4200"/>
        <w:gridCol w:w="5160"/>
      </w:tblGrid>
      <w:tr>
        <w:tc>
          <w:tcPr>
            <w:tcW w:type="dxa" w:w="4200"/>
            <w:shd w:fill="F2F4F7"/>
            <w:vAlign w:val="center"/>
            <w:tcMar>
              <w:top w:w="80" w:type="dxa"/>
              <w:start w:w="120" w:type="dxa"/>
              <w:bottom w:w="80" w:type="dxa"/>
              <w:end w:w="120" w:type="dxa"/>
            </w:tcMar>
          </w:tcPr>
          <w:p>
            <w:pPr>
              <w:suppressAutoHyphens w:val="true"/>
            </w:pPr>
            <w:r>
              <w:rPr>
                <w:b/>
                <w:sz w:val="18"/>
              </w:rPr>
              <w:t>Reproducibility command</w:t>
            </w:r>
          </w:p>
        </w:tc>
        <w:tc>
          <w:tcPr>
            <w:tcW w:type="dxa" w:w="5160"/>
            <w:shd w:fill="F2F4F7"/>
            <w:vAlign w:val="center"/>
            <w:tcMar>
              <w:top w:w="80" w:type="dxa"/>
              <w:start w:w="120" w:type="dxa"/>
              <w:bottom w:w="80" w:type="dxa"/>
              <w:end w:w="120" w:type="dxa"/>
            </w:tcMar>
          </w:tcPr>
          <w:p>
            <w:pPr>
              <w:suppressAutoHyphens w:val="true"/>
            </w:pPr>
            <w:r>
              <w:rPr>
                <w:b/>
                <w:sz w:val="18"/>
              </w:rPr>
              <w:t>Purpose</w:t>
            </w:r>
          </w:p>
        </w:tc>
      </w:tr>
      <w:tr>
        <w:tc>
          <w:tcPr>
            <w:tcW w:type="dxa" w:w="4200"/>
            <w:vAlign w:val="center"/>
            <w:tcMar>
              <w:top w:w="80" w:type="dxa"/>
              <w:start w:w="120" w:type="dxa"/>
              <w:bottom w:w="80" w:type="dxa"/>
              <w:end w:w="120" w:type="dxa"/>
            </w:tcMar>
          </w:tcPr>
          <w:p>
            <w:pPr>
              <w:suppressAutoHyphens w:val="true"/>
            </w:pPr>
            <w:r>
              <w:rPr>
                <w:sz w:val="18"/>
              </w:rPr>
              <w:t>python -m venv .venv</w:t>
            </w:r>
          </w:p>
        </w:tc>
        <w:tc>
          <w:tcPr>
            <w:tcW w:type="dxa" w:w="5160"/>
            <w:vAlign w:val="center"/>
            <w:tcMar>
              <w:top w:w="80" w:type="dxa"/>
              <w:start w:w="120" w:type="dxa"/>
              <w:bottom w:w="80" w:type="dxa"/>
              <w:end w:w="120" w:type="dxa"/>
            </w:tcMar>
          </w:tcPr>
          <w:p>
            <w:pPr>
              <w:suppressAutoHyphens w:val="true"/>
            </w:pPr>
            <w:r>
              <w:rPr>
                <w:sz w:val="18"/>
              </w:rPr>
              <w:t>Create environment.</w:t>
            </w:r>
          </w:p>
        </w:tc>
      </w:tr>
      <w:tr>
        <w:tc>
          <w:tcPr>
            <w:tcW w:type="dxa" w:w="4200"/>
            <w:vAlign w:val="center"/>
            <w:tcMar>
              <w:top w:w="80" w:type="dxa"/>
              <w:start w:w="120" w:type="dxa"/>
              <w:bottom w:w="80" w:type="dxa"/>
              <w:end w:w="120" w:type="dxa"/>
            </w:tcMar>
          </w:tcPr>
          <w:p>
            <w:pPr>
              <w:suppressAutoHyphens w:val="true"/>
            </w:pPr>
            <w:r>
              <w:rPr>
                <w:sz w:val="18"/>
              </w:rPr>
              <w:t>&amp; .\.venv\Scripts\Activate.ps1</w:t>
            </w:r>
          </w:p>
        </w:tc>
        <w:tc>
          <w:tcPr>
            <w:tcW w:type="dxa" w:w="5160"/>
            <w:vAlign w:val="center"/>
            <w:tcMar>
              <w:top w:w="80" w:type="dxa"/>
              <w:start w:w="120" w:type="dxa"/>
              <w:bottom w:w="80" w:type="dxa"/>
              <w:end w:w="120" w:type="dxa"/>
            </w:tcMar>
          </w:tcPr>
          <w:p>
            <w:pPr>
              <w:suppressAutoHyphens w:val="true"/>
            </w:pPr>
            <w:r>
              <w:rPr>
                <w:sz w:val="18"/>
              </w:rPr>
              <w:t>Activate environment on Windows PowerShell.</w:t>
            </w:r>
          </w:p>
        </w:tc>
      </w:tr>
      <w:tr>
        <w:tc>
          <w:tcPr>
            <w:tcW w:type="dxa" w:w="4200"/>
            <w:vAlign w:val="center"/>
            <w:tcMar>
              <w:top w:w="80" w:type="dxa"/>
              <w:start w:w="120" w:type="dxa"/>
              <w:bottom w:w="80" w:type="dxa"/>
              <w:end w:w="120" w:type="dxa"/>
            </w:tcMar>
          </w:tcPr>
          <w:p>
            <w:pPr>
              <w:suppressAutoHyphens w:val="true"/>
            </w:pPr>
            <w:r>
              <w:rPr>
                <w:sz w:val="18"/>
              </w:rPr>
              <w:t>pip install -r requirements.txt</w:t>
            </w:r>
          </w:p>
        </w:tc>
        <w:tc>
          <w:tcPr>
            <w:tcW w:type="dxa" w:w="5160"/>
            <w:vAlign w:val="center"/>
            <w:tcMar>
              <w:top w:w="80" w:type="dxa"/>
              <w:start w:w="120" w:type="dxa"/>
              <w:bottom w:w="80" w:type="dxa"/>
              <w:end w:w="120" w:type="dxa"/>
            </w:tcMar>
          </w:tcPr>
          <w:p>
            <w:pPr>
              <w:suppressAutoHyphens w:val="true"/>
            </w:pPr>
            <w:r>
              <w:rPr>
                <w:sz w:val="18"/>
              </w:rPr>
              <w:t>Install dependencies.</w:t>
            </w:r>
          </w:p>
        </w:tc>
      </w:tr>
      <w:tr>
        <w:tc>
          <w:tcPr>
            <w:tcW w:type="dxa" w:w="4200"/>
            <w:vAlign w:val="center"/>
            <w:tcMar>
              <w:top w:w="80" w:type="dxa"/>
              <w:start w:w="120" w:type="dxa"/>
              <w:bottom w:w="80" w:type="dxa"/>
              <w:end w:w="120" w:type="dxa"/>
            </w:tcMar>
          </w:tcPr>
          <w:p>
            <w:pPr>
              <w:suppressAutoHyphens w:val="true"/>
            </w:pPr>
            <w:r>
              <w:rPr>
                <w:sz w:val="18"/>
              </w:rPr>
              <w:t>python run.py --config config/w5_main.json</w:t>
            </w:r>
          </w:p>
        </w:tc>
        <w:tc>
          <w:tcPr>
            <w:tcW w:type="dxa" w:w="5160"/>
            <w:vAlign w:val="center"/>
            <w:tcMar>
              <w:top w:w="80" w:type="dxa"/>
              <w:start w:w="120" w:type="dxa"/>
              <w:bottom w:w="80" w:type="dxa"/>
              <w:end w:w="120" w:type="dxa"/>
            </w:tcMar>
          </w:tcPr>
          <w:p>
            <w:pPr>
              <w:suppressAutoHyphens w:val="true"/>
            </w:pPr>
            <w:r>
              <w:rPr>
                <w:sz w:val="18"/>
              </w:rPr>
              <w:t>Run main WP5 evaluation.</w:t>
            </w:r>
          </w:p>
        </w:tc>
      </w:tr>
      <w:tr>
        <w:tc>
          <w:tcPr>
            <w:tcW w:type="dxa" w:w="4200"/>
            <w:vAlign w:val="center"/>
            <w:tcMar>
              <w:top w:w="80" w:type="dxa"/>
              <w:start w:w="120" w:type="dxa"/>
              <w:bottom w:w="80" w:type="dxa"/>
              <w:end w:w="120" w:type="dxa"/>
            </w:tcMar>
          </w:tcPr>
          <w:p>
            <w:pPr>
              <w:suppressAutoHyphens w:val="true"/>
            </w:pPr>
            <w:r>
              <w:rPr>
                <w:sz w:val="18"/>
              </w:rPr>
              <w:t>python run.py --config config/w6_sweep_full.json</w:t>
            </w:r>
          </w:p>
        </w:tc>
        <w:tc>
          <w:tcPr>
            <w:tcW w:type="dxa" w:w="5160"/>
            <w:vAlign w:val="center"/>
            <w:tcMar>
              <w:top w:w="80" w:type="dxa"/>
              <w:start w:w="120" w:type="dxa"/>
              <w:bottom w:w="80" w:type="dxa"/>
              <w:end w:w="120" w:type="dxa"/>
            </w:tcMar>
          </w:tcPr>
          <w:p>
            <w:pPr>
              <w:suppressAutoHyphens w:val="true"/>
            </w:pPr>
            <w:r>
              <w:rPr>
                <w:sz w:val="18"/>
              </w:rPr>
              <w:t>Run WP6 sweep.</w:t>
            </w:r>
          </w:p>
        </w:tc>
      </w:tr>
      <w:tr>
        <w:tc>
          <w:tcPr>
            <w:tcW w:type="dxa" w:w="4200"/>
            <w:vAlign w:val="center"/>
            <w:tcMar>
              <w:top w:w="80" w:type="dxa"/>
              <w:start w:w="120" w:type="dxa"/>
              <w:bottom w:w="80" w:type="dxa"/>
              <w:end w:w="120" w:type="dxa"/>
            </w:tcMar>
          </w:tcPr>
          <w:p>
            <w:pPr>
              <w:suppressAutoHyphens w:val="true"/>
            </w:pPr>
            <w:r>
              <w:rPr>
                <w:sz w:val="18"/>
              </w:rPr>
              <w:t>python run.py --config config/w6_sweep_full.json --resume &lt;run_id&gt;</w:t>
            </w:r>
          </w:p>
        </w:tc>
        <w:tc>
          <w:tcPr>
            <w:tcW w:type="dxa" w:w="5160"/>
            <w:vAlign w:val="center"/>
            <w:tcMar>
              <w:top w:w="80" w:type="dxa"/>
              <w:start w:w="120" w:type="dxa"/>
              <w:bottom w:w="80" w:type="dxa"/>
              <w:end w:w="120" w:type="dxa"/>
            </w:tcMar>
          </w:tcPr>
          <w:p>
            <w:pPr>
              <w:suppressAutoHyphens w:val="true"/>
            </w:pPr>
            <w:r>
              <w:rPr>
                <w:sz w:val="18"/>
              </w:rPr>
              <w:t>Resume WP6 sweep.</w:t>
            </w:r>
          </w:p>
        </w:tc>
      </w:tr>
      <w:tr>
        <w:tc>
          <w:tcPr>
            <w:tcW w:type="dxa" w:w="4200"/>
            <w:vAlign w:val="center"/>
            <w:tcMar>
              <w:top w:w="80" w:type="dxa"/>
              <w:start w:w="120" w:type="dxa"/>
              <w:bottom w:w="80" w:type="dxa"/>
              <w:end w:w="120" w:type="dxa"/>
            </w:tcMar>
          </w:tcPr>
          <w:p>
            <w:pPr>
              <w:suppressAutoHyphens w:val="true"/>
            </w:pPr>
            <w:r>
              <w:rPr>
                <w:sz w:val="18"/>
              </w:rPr>
              <w:t>ruff check src/</w:t>
            </w:r>
          </w:p>
        </w:tc>
        <w:tc>
          <w:tcPr>
            <w:tcW w:type="dxa" w:w="5160"/>
            <w:vAlign w:val="center"/>
            <w:tcMar>
              <w:top w:w="80" w:type="dxa"/>
              <w:start w:w="120" w:type="dxa"/>
              <w:bottom w:w="80" w:type="dxa"/>
              <w:end w:w="120" w:type="dxa"/>
            </w:tcMar>
          </w:tcPr>
          <w:p>
            <w:pPr>
              <w:suppressAutoHyphens w:val="true"/>
            </w:pPr>
            <w:r>
              <w:rPr>
                <w:sz w:val="18"/>
              </w:rPr>
              <w:t>Lint source code.</w:t>
            </w:r>
          </w:p>
        </w:tc>
      </w:tr>
    </w:tbl>
    <w:p>
      <w:pPr>
        <w:suppressAutoHyphens w:val="true"/>
      </w:pPr>
    </w:p>
    <w:p>
      <w:pPr>
        <w:suppressAutoHyphens w:val="true"/>
      </w:pPr>
      <w:r>
        <w:t>These commands document reproducibility paths only; thesis_33 adaptation did not rerun experiments.</w:t>
      </w:r>
    </w:p>
    <w:p>
      <w:pPr>
        <w:pStyle w:val="Heading1"/>
        <w:suppressAutoHyphens w:val="true"/>
      </w:pPr>
      <w:r>
        <w:t>12 Conclusion</w:t>
      </w:r>
    </w:p>
    <w:p>
      <w:pPr>
        <w:suppressAutoHyphens w:val="true"/>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pPr>
        <w:pStyle w:val="Heading1"/>
        <w:suppressAutoHyphens w:val="true"/>
      </w:pPr>
      <w:r>
        <w:t>References</w:t>
      </w:r>
    </w:p>
    <w:p>
      <w:pPr>
        <w:ind w:left="360" w:hanging="360"/>
        <w:suppressAutoHyphens w:val="true"/>
      </w:pPr>
      <w:r>
        <w:t>Avellaneda, M., &amp; Stoikov, S. (2008). High-frequency trading in a limit order book. Quantitative Finance, 8(3), 217-224. https://doi.org/10.1080/14697680701381228</w:t>
      </w:r>
    </w:p>
    <w:p>
      <w:pPr>
        <w:ind w:left="360" w:hanging="360"/>
        <w:suppressAutoHyphens w:val="true"/>
      </w:pPr>
      <w:r>
        <w:t>Gueant, O., Lehalle, C.-A., &amp; Fernandez-Tapia, J. (2013). Dealing with the inventory risk: a solution to the market making problem. Mathematics and Financial Economics, 7, 477-507. https://doi.org/10.1007/s11579-012-0087-0</w:t>
      </w:r>
    </w:p>
    <w:p>
      <w:pPr>
        <w:suppressAutoHyphens w:val="true"/>
      </w:pPr>
      <w:r>
        <w:t>Fodra, P., &amp; Labadie, M. (2012). High-frequency market-making with inventory constraints and directional bets. arXiv:1206.4810.</w:t>
      </w:r>
    </w:p>
    <w:p>
      <w:pPr>
        <w:suppressAutoHyphens w:val="true"/>
      </w:pPr>
      <w:r>
        <w:t>Fodra, P., &amp; Labadie, M. (2013). High-frequency market-making for multi-dimensional Markov processes. arXiv:1303.7177.</w:t>
      </w:r>
    </w:p>
    <w:p>
      <w:pPr>
        <w:ind w:left="360" w:hanging="360"/>
        <w:suppressAutoHyphens w:val="true"/>
      </w:pPr>
      <w:r>
        <w:t>Spooner, T., Fearnley, J., Savani, R., &amp; Koukorinis, A. (2018). Market Making via Reinforcement Learning. Proceedings of the 17th International Conference on Autonomous Agents and MultiAgent Systems, 434-442.</w:t>
      </w:r>
    </w:p>
    <w:p>
      <w:pPr>
        <w:ind w:left="360" w:hanging="360"/>
        <w:suppressAutoHyphens w:val="true"/>
      </w:pPr>
      <w:r>
        <w:t>Spooner, T., &amp; Savani, R. (2020). Robust market making via adversarial reinforcement learning. Proceedings of the Twenty-Ninth International Joint Conference on Artificial Intelligence, 4590-4596. https://doi.org/10.24963/ijcai.2020/633</w:t>
      </w:r>
    </w:p>
    <w:p>
      <w:pPr>
        <w:ind w:left="360" w:hanging="360"/>
        <w:suppressAutoHyphens w:val="true"/>
      </w:pPr>
      <w:r>
        <w:t>Gasperov, B., &amp; Kostanjcar, Z. (2021). Market Making With Signals Through Deep Reinforcement Learning. IEEE Access, 9, 61611-61622. https://doi.org/10.1109/ACCESS.2021.3074782</w:t>
      </w:r>
    </w:p>
    <w:p>
      <w:pPr>
        <w:ind w:left="360" w:hanging="360"/>
        <w:suppressAutoHyphens w:val="true"/>
      </w:pPr>
      <w:r>
        <w:t>Gasperov, B., Begusic, S., Posedel Simovic, P., &amp; Kostanjcar, Z. (2021). Reinforcement Learning Approaches to Optimal Market Making. Mathematics, 9(21), 2689. https://doi.org/10.3390/math9212689</w:t>
      </w:r>
    </w:p>
    <w:p>
      <w:pPr>
        <w:ind w:left="360" w:hanging="360"/>
        <w:suppressAutoHyphens w:val="true"/>
      </w:pPr>
      <w:r>
        <w:t>Gasperov, B., &amp; Kostanjcar, Z. (2022). Deep Reinforcement Learning for Market Making Under a Hawkes Process-Based Limit Order Book Model. IEEE Control Systems Letters, 6, 2485-2490. https://doi.org/10.1109/LCSYS.2022.3166446</w:t>
      </w:r>
    </w:p>
    <w:p>
      <w:pPr>
        <w:ind w:left="360" w:hanging="360"/>
        <w:suppressAutoHyphens w:val="true"/>
      </w:pPr>
      <w:r>
        <w:t>Schulman, J., Wolski, F., Dhariwal, P., Radford, A., &amp; Klimov, O. (2017). Proximal Policy Optimization Algorithms. arXiv:1707.06347.</w:t>
      </w:r>
    </w:p>
    <w:p>
      <w:pPr>
        <w:ind w:left="360" w:hanging="360"/>
        <w:suppressAutoHyphens w:val="true"/>
      </w:pPr>
      <w:r>
        <w:t>Lakens, D. (2017). Equivalence tests: A practical primer for t tests, correlations, and meta-analyses. Social Psychological and Personality Science, 8(4), 355-362. https://doi.org/10.1177/1948550617697177</w:t>
      </w:r>
    </w:p>
    <w:p>
      <w:pPr>
        <w:ind w:left="360" w:hanging="360"/>
        <w:suppressAutoHyphens w:val="true"/>
      </w:pPr>
      <w:r>
        <w:t>Lakens, D., Scheel, A. M., &amp; Isager, P. M. (2018). Equivalence testing for psychological research: A tutorial. Advances in Methods and Practices in Psychological Science, 1(2), 259-269. https://doi.org/10.1177/2515245918770963</w:t>
      </w:r>
    </w:p>
    <w:p>
      <w:pPr>
        <w:pStyle w:val="Heading1"/>
        <w:suppressAutoHyphens w:val="true"/>
      </w:pPr>
      <w:r>
        <w:t>Appendix A Code Appendix</w:t>
      </w: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shd w:fill="F2F4F7"/>
            <w:vAlign w:val="center"/>
            <w:tcMar>
              <w:top w:w="80" w:type="dxa"/>
              <w:start w:w="120" w:type="dxa"/>
              <w:bottom w:w="80" w:type="dxa"/>
              <w:end w:w="120" w:type="dxa"/>
            </w:tcMar>
          </w:tcPr>
          <w:p>
            <w:pPr>
              <w:suppressAutoHyphens w:val="true"/>
            </w:pPr>
            <w:r>
              <w:rPr>
                <w:b/>
                <w:sz w:val="18"/>
              </w:rPr>
              <w:t>Area</w:t>
            </w:r>
          </w:p>
        </w:tc>
        <w:tc>
          <w:tcPr>
            <w:tcW w:type="dxa" w:w="7060"/>
            <w:shd w:fill="F2F4F7"/>
            <w:vAlign w:val="center"/>
            <w:tcMar>
              <w:top w:w="80" w:type="dxa"/>
              <w:start w:w="120" w:type="dxa"/>
              <w:bottom w:w="80" w:type="dxa"/>
              <w:end w:w="120" w:type="dxa"/>
            </w:tcMar>
          </w:tcPr>
          <w:p>
            <w:pPr>
              <w:suppressAutoHyphens w:val="true"/>
            </w:pPr>
            <w:r>
              <w:rPr>
                <w:b/>
                <w:sz w:val="18"/>
              </w:rPr>
              <w:t>Files</w:t>
            </w:r>
          </w:p>
        </w:tc>
      </w:tr>
      <w:tr>
        <w:tc>
          <w:tcPr>
            <w:tcW w:type="dxa" w:w="2300"/>
            <w:vAlign w:val="center"/>
            <w:tcMar>
              <w:top w:w="80" w:type="dxa"/>
              <w:start w:w="120" w:type="dxa"/>
              <w:bottom w:w="80" w:type="dxa"/>
              <w:end w:w="120" w:type="dxa"/>
            </w:tcMar>
          </w:tcPr>
          <w:p>
            <w:pPr>
              <w:suppressAutoHyphens w:val="true"/>
            </w:pPr>
            <w:r>
              <w:rPr>
                <w:sz w:val="18"/>
              </w:rPr>
              <w:t>Run management</w:t>
            </w:r>
          </w:p>
        </w:tc>
        <w:tc>
          <w:tcPr>
            <w:tcW w:type="dxa" w:w="7060"/>
            <w:vAlign w:val="center"/>
            <w:tcMar>
              <w:top w:w="80" w:type="dxa"/>
              <w:start w:w="120" w:type="dxa"/>
              <w:bottom w:w="80" w:type="dxa"/>
              <w:end w:w="120" w:type="dxa"/>
            </w:tcMar>
          </w:tcPr>
          <w:p>
            <w:pPr>
              <w:suppressAutoHyphens w:val="true"/>
            </w:pPr>
            <w:r>
              <w:rPr>
                <w:sz w:val="18"/>
              </w:rPr>
              <w:t>run.py; src/run_context.py</w:t>
            </w:r>
          </w:p>
        </w:tc>
      </w:tr>
      <w:tr>
        <w:tc>
          <w:tcPr>
            <w:tcW w:type="dxa" w:w="2300"/>
            <w:vAlign w:val="center"/>
            <w:tcMar>
              <w:top w:w="80" w:type="dxa"/>
              <w:start w:w="120" w:type="dxa"/>
              <w:bottom w:w="80" w:type="dxa"/>
              <w:end w:w="120" w:type="dxa"/>
            </w:tcMar>
          </w:tcPr>
          <w:p>
            <w:pPr>
              <w:suppressAutoHyphens w:val="true"/>
            </w:pPr>
            <w:r>
              <w:rPr>
                <w:sz w:val="18"/>
              </w:rPr>
              <w:t>Simulation</w:t>
            </w:r>
          </w:p>
        </w:tc>
        <w:tc>
          <w:tcPr>
            <w:tcW w:type="dxa" w:w="7060"/>
            <w:vAlign w:val="center"/>
            <w:tcMar>
              <w:top w:w="80" w:type="dxa"/>
              <w:start w:w="120" w:type="dxa"/>
              <w:bottom w:w="80" w:type="dxa"/>
              <w:end w:w="120" w:type="dxa"/>
            </w:tcMar>
          </w:tcPr>
          <w:p>
            <w:pPr>
              <w:suppressAutoHyphens w:val="true"/>
            </w:pPr>
            <w:r>
              <w:rPr>
                <w:sz w:val="18"/>
              </w:rPr>
              <w:t>src/wp1/sim.py; src/wp1/w1_as_baseline.py</w:t>
            </w:r>
          </w:p>
        </w:tc>
      </w:tr>
      <w:tr>
        <w:tc>
          <w:tcPr>
            <w:tcW w:type="dxa" w:w="2300"/>
            <w:vAlign w:val="center"/>
            <w:tcMar>
              <w:top w:w="80" w:type="dxa"/>
              <w:start w:w="120" w:type="dxa"/>
              <w:bottom w:w="80" w:type="dxa"/>
              <w:end w:w="120" w:type="dxa"/>
            </w:tcMar>
          </w:tcPr>
          <w:p>
            <w:pPr>
              <w:suppressAutoHyphens w:val="true"/>
            </w:pPr>
            <w:r>
              <w:rPr>
                <w:sz w:val="18"/>
              </w:rPr>
              <w:t>Regimes</w:t>
            </w:r>
          </w:p>
        </w:tc>
        <w:tc>
          <w:tcPr>
            <w:tcW w:type="dxa" w:w="7060"/>
            <w:vAlign w:val="center"/>
            <w:tcMar>
              <w:top w:w="80" w:type="dxa"/>
              <w:start w:w="120" w:type="dxa"/>
              <w:bottom w:w="80" w:type="dxa"/>
              <w:end w:w="120" w:type="dxa"/>
            </w:tcMar>
          </w:tcPr>
          <w:p>
            <w:pPr>
              <w:suppressAutoHyphens w:val="true"/>
            </w:pPr>
            <w:r>
              <w:rPr>
                <w:sz w:val="18"/>
              </w:rPr>
              <w:t>src/wp2/synth_regime.py; src/wp2/job_w2_synth.py</w:t>
            </w:r>
          </w:p>
        </w:tc>
      </w:tr>
      <w:tr>
        <w:tc>
          <w:tcPr>
            <w:tcW w:type="dxa" w:w="2300"/>
            <w:vAlign w:val="center"/>
            <w:tcMar>
              <w:top w:w="80" w:type="dxa"/>
              <w:start w:w="120" w:type="dxa"/>
              <w:bottom w:w="80" w:type="dxa"/>
              <w:end w:w="120" w:type="dxa"/>
            </w:tcMar>
          </w:tcPr>
          <w:p>
            <w:pPr>
              <w:suppressAutoHyphens w:val="true"/>
            </w:pPr>
            <w:r>
              <w:rPr>
                <w:sz w:val="18"/>
              </w:rPr>
              <w:t>Environment</w:t>
            </w:r>
          </w:p>
        </w:tc>
        <w:tc>
          <w:tcPr>
            <w:tcW w:type="dxa" w:w="7060"/>
            <w:vAlign w:val="center"/>
            <w:tcMar>
              <w:top w:w="80" w:type="dxa"/>
              <w:start w:w="120" w:type="dxa"/>
              <w:bottom w:w="80" w:type="dxa"/>
              <w:end w:w="120" w:type="dxa"/>
            </w:tcMar>
          </w:tcPr>
          <w:p>
            <w:pPr>
              <w:suppressAutoHyphens w:val="true"/>
            </w:pPr>
            <w:r>
              <w:rPr>
                <w:sz w:val="18"/>
              </w:rPr>
              <w:t>src/wp3/env.py; src/wp3/w3_sanity.py</w:t>
            </w:r>
          </w:p>
        </w:tc>
      </w:tr>
      <w:tr>
        <w:tc>
          <w:tcPr>
            <w:tcW w:type="dxa" w:w="2300"/>
            <w:vAlign w:val="center"/>
            <w:tcMar>
              <w:top w:w="80" w:type="dxa"/>
              <w:start w:w="120" w:type="dxa"/>
              <w:bottom w:w="80" w:type="dxa"/>
              <w:end w:w="120" w:type="dxa"/>
            </w:tcMar>
          </w:tcPr>
          <w:p>
            <w:pPr>
              <w:suppressAutoHyphens w:val="true"/>
            </w:pPr>
            <w:r>
              <w:rPr>
                <w:sz w:val="18"/>
              </w:rPr>
              <w:t>PPO training</w:t>
            </w:r>
          </w:p>
        </w:tc>
        <w:tc>
          <w:tcPr>
            <w:tcW w:type="dxa" w:w="7060"/>
            <w:vAlign w:val="center"/>
            <w:tcMar>
              <w:top w:w="80" w:type="dxa"/>
              <w:start w:w="120" w:type="dxa"/>
              <w:bottom w:w="80" w:type="dxa"/>
              <w:end w:w="120" w:type="dxa"/>
            </w:tcMar>
          </w:tcPr>
          <w:p>
            <w:pPr>
              <w:suppressAutoHyphens w:val="true"/>
            </w:pPr>
            <w:r>
              <w:rPr>
                <w:sz w:val="18"/>
              </w:rPr>
              <w:t>src/wp4/job_w4_ppo.py</w:t>
            </w:r>
          </w:p>
        </w:tc>
      </w:tr>
      <w:tr>
        <w:tc>
          <w:tcPr>
            <w:tcW w:type="dxa" w:w="2300"/>
            <w:vAlign w:val="center"/>
            <w:tcMar>
              <w:top w:w="80" w:type="dxa"/>
              <w:start w:w="120" w:type="dxa"/>
              <w:bottom w:w="80" w:type="dxa"/>
              <w:end w:w="120" w:type="dxa"/>
            </w:tcMar>
          </w:tcPr>
          <w:p>
            <w:pPr>
              <w:suppressAutoHyphens w:val="true"/>
            </w:pPr>
            <w:r>
              <w:rPr>
                <w:sz w:val="18"/>
              </w:rPr>
              <w:t>Evaluation</w:t>
            </w:r>
          </w:p>
        </w:tc>
        <w:tc>
          <w:tcPr>
            <w:tcW w:type="dxa" w:w="7060"/>
            <w:vAlign w:val="center"/>
            <w:tcMar>
              <w:top w:w="80" w:type="dxa"/>
              <w:start w:w="120" w:type="dxa"/>
              <w:bottom w:w="80" w:type="dxa"/>
              <w:end w:w="120" w:type="dxa"/>
            </w:tcMar>
          </w:tcPr>
          <w:p>
            <w:pPr>
              <w:suppressAutoHyphens w:val="true"/>
            </w:pPr>
            <w:r>
              <w:rPr>
                <w:sz w:val="18"/>
              </w:rPr>
              <w:t>src/wp5/job_w5_eval.py; src/wp5/job_w5_detector_compare.py</w:t>
            </w:r>
          </w:p>
        </w:tc>
      </w:tr>
      <w:tr>
        <w:tc>
          <w:tcPr>
            <w:tcW w:type="dxa" w:w="2300"/>
            <w:vAlign w:val="center"/>
            <w:tcMar>
              <w:top w:w="80" w:type="dxa"/>
              <w:start w:w="120" w:type="dxa"/>
              <w:bottom w:w="80" w:type="dxa"/>
              <w:end w:w="120" w:type="dxa"/>
            </w:tcMar>
          </w:tcPr>
          <w:p>
            <w:pPr>
              <w:suppressAutoHyphens w:val="true"/>
            </w:pPr>
            <w:r>
              <w:rPr>
                <w:sz w:val="18"/>
              </w:rPr>
              <w:t>Signal audit and sweep</w:t>
            </w:r>
          </w:p>
        </w:tc>
        <w:tc>
          <w:tcPr>
            <w:tcW w:type="dxa" w:w="7060"/>
            <w:vAlign w:val="center"/>
            <w:tcMar>
              <w:top w:w="80" w:type="dxa"/>
              <w:start w:w="120" w:type="dxa"/>
              <w:bottom w:w="80" w:type="dxa"/>
              <w:end w:w="120" w:type="dxa"/>
            </w:tcMar>
          </w:tcPr>
          <w:p>
            <w:pPr>
              <w:suppressAutoHyphens w:val="true"/>
            </w:pPr>
            <w:r>
              <w:rPr>
                <w:sz w:val="18"/>
              </w:rPr>
              <w:t>src/wp5_5/*; src/wp6/job_w6_sweep_full.py</w:t>
            </w:r>
          </w:p>
        </w:tc>
      </w:tr>
    </w:tbl>
    <w:p>
      <w:pPr>
        <w:suppressAutoHyphens w:val="true"/>
      </w:pPr>
    </w:p>
    <w:p>
      <w:pPr>
        <w:pStyle w:val="Heading3"/>
        <w:suppressAutoHyphens w:val="true"/>
      </w:pPr>
      <w:r>
        <w:t>Canonical commands</w:t>
      </w:r>
    </w:p>
    <w:p>
      <w:pPr>
        <w:suppressAutoHyphens w:val="true"/>
      </w:pPr>
      <w:r>
        <w:rPr>
          <w:rFonts w:ascii="Consolas" w:hAnsi="Consolas" w:eastAsia="Consolas"/>
          <w:sz w:val="18"/>
        </w:rPr>
        <w:t>python run.py --config config/w5_main.json</w:t>
      </w:r>
    </w:p>
    <w:p>
      <w:pPr>
        <w:suppressAutoHyphens w:val="true"/>
      </w:pPr>
      <w:r>
        <w:rPr>
          <w:rFonts w:ascii="Consolas" w:hAnsi="Consolas" w:eastAsia="Consolas"/>
          <w:sz w:val="18"/>
        </w:rPr>
        <w:t>python run.py --config config/w5_detector_full.json</w:t>
      </w:r>
    </w:p>
    <w:p>
      <w:pPr>
        <w:suppressAutoHyphens w:val="true"/>
      </w:pPr>
      <w:r>
        <w:rPr>
          <w:rFonts w:ascii="Consolas" w:hAnsi="Consolas" w:eastAsia="Consolas"/>
          <w:sz w:val="18"/>
        </w:rPr>
        <w:t>python run.py --config config/w5_eta_regime.json</w:t>
      </w:r>
    </w:p>
    <w:p>
      <w:pPr>
        <w:suppressAutoHyphens w:val="true"/>
      </w:pPr>
      <w:r>
        <w:rPr>
          <w:rFonts w:ascii="Consolas" w:hAnsi="Consolas" w:eastAsia="Consolas"/>
          <w:sz w:val="18"/>
        </w:rPr>
        <w:t>python run.py --config config/w5_misspec_mild.json</w:t>
      </w:r>
    </w:p>
    <w:p>
      <w:pPr>
        <w:suppressAutoHyphens w:val="true"/>
      </w:pPr>
      <w:r>
        <w:rPr>
          <w:rFonts w:ascii="Consolas" w:hAnsi="Consolas" w:eastAsia="Consolas"/>
          <w:sz w:val="18"/>
        </w:rPr>
        <w:t>python run.py --config config/w6_sweep_full.json</w:t>
      </w:r>
    </w:p>
    <w:p>
      <w:pPr>
        <w:suppressAutoHyphens w:val="true"/>
      </w:pPr>
    </w:p>
    <w:p>
      <w:pPr>
        <w:pStyle w:val="Heading1"/>
        <w:suppressAutoHyphens w:val="true"/>
      </w:pPr>
      <w:r>
        <w:t>Appendix B Sanity Checks and Unit Tests</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pPr>
              <w:suppressAutoHyphens w:val="true"/>
            </w:pPr>
            <w:r>
              <w:rPr>
                <w:b/>
                <w:sz w:val="18"/>
              </w:rPr>
              <w:t>Check</w:t>
            </w:r>
          </w:p>
        </w:tc>
        <w:tc>
          <w:tcPr>
            <w:tcW w:type="dxa" w:w="6060"/>
            <w:shd w:fill="F2F4F7"/>
            <w:vAlign w:val="center"/>
            <w:tcMar>
              <w:top w:w="80" w:type="dxa"/>
              <w:start w:w="120" w:type="dxa"/>
              <w:bottom w:w="80" w:type="dxa"/>
              <w:end w:w="120" w:type="dxa"/>
            </w:tcMar>
          </w:tcPr>
          <w:p>
            <w:pPr>
              <w:suppressAutoHyphens w:val="true"/>
            </w:pPr>
            <w:r>
              <w:rPr>
                <w:b/>
                <w:sz w:val="18"/>
              </w:rPr>
              <w:t>Purpose</w:t>
            </w:r>
          </w:p>
        </w:tc>
      </w:tr>
      <w:tr>
        <w:tc>
          <w:tcPr>
            <w:tcW w:type="dxa" w:w="3300"/>
            <w:vAlign w:val="center"/>
            <w:tcMar>
              <w:top w:w="80" w:type="dxa"/>
              <w:start w:w="120" w:type="dxa"/>
              <w:bottom w:w="80" w:type="dxa"/>
              <w:end w:w="120" w:type="dxa"/>
            </w:tcMar>
          </w:tcPr>
          <w:p>
            <w:pPr>
              <w:suppressAutoHyphens w:val="true"/>
            </w:pPr>
            <w:r>
              <w:rPr>
                <w:sz w:val="18"/>
              </w:rPr>
              <w:t>tests/test_csv_metric_logger.py</w:t>
            </w:r>
          </w:p>
        </w:tc>
        <w:tc>
          <w:tcPr>
            <w:tcW w:type="dxa" w:w="6060"/>
            <w:vAlign w:val="center"/>
            <w:tcMar>
              <w:top w:w="80" w:type="dxa"/>
              <w:start w:w="120" w:type="dxa"/>
              <w:bottom w:w="80" w:type="dxa"/>
              <w:end w:w="120" w:type="dxa"/>
            </w:tcMar>
          </w:tcPr>
          <w:p>
            <w:pPr>
              <w:suppressAutoHyphens w:val="true"/>
            </w:pPr>
            <w:r>
              <w:rPr>
                <w:sz w:val="18"/>
              </w:rPr>
              <w:t>Verifies stable CSV metric schema behavior.</w:t>
            </w:r>
          </w:p>
        </w:tc>
      </w:tr>
      <w:tr>
        <w:tc>
          <w:tcPr>
            <w:tcW w:type="dxa" w:w="3300"/>
            <w:vAlign w:val="center"/>
            <w:tcMar>
              <w:top w:w="80" w:type="dxa"/>
              <w:start w:w="120" w:type="dxa"/>
              <w:bottom w:w="80" w:type="dxa"/>
              <w:end w:w="120" w:type="dxa"/>
            </w:tcMar>
          </w:tcPr>
          <w:p>
            <w:pPr>
              <w:suppressAutoHyphens w:val="true"/>
            </w:pPr>
            <w:r>
              <w:rPr>
                <w:sz w:val="18"/>
              </w:rPr>
              <w:t>tests/test_resume_validation.py</w:t>
            </w:r>
          </w:p>
        </w:tc>
        <w:tc>
          <w:tcPr>
            <w:tcW w:type="dxa" w:w="6060"/>
            <w:vAlign w:val="center"/>
            <w:tcMar>
              <w:top w:w="80" w:type="dxa"/>
              <w:start w:w="120" w:type="dxa"/>
              <w:bottom w:w="80" w:type="dxa"/>
              <w:end w:w="120" w:type="dxa"/>
            </w:tcMar>
          </w:tcPr>
          <w:p>
            <w:pPr>
              <w:suppressAutoHyphens w:val="true"/>
            </w:pPr>
            <w:r>
              <w:rPr>
                <w:sz w:val="18"/>
              </w:rPr>
              <w:t>Verifies resume-mode config validation.</w:t>
            </w:r>
          </w:p>
        </w:tc>
      </w:tr>
      <w:tr>
        <w:tc>
          <w:tcPr>
            <w:tcW w:type="dxa" w:w="3300"/>
            <w:vAlign w:val="center"/>
            <w:tcMar>
              <w:top w:w="80" w:type="dxa"/>
              <w:start w:w="120" w:type="dxa"/>
              <w:bottom w:w="80" w:type="dxa"/>
              <w:end w:w="120" w:type="dxa"/>
            </w:tcMar>
          </w:tcPr>
          <w:p>
            <w:pPr>
              <w:suppressAutoHyphens w:val="true"/>
            </w:pPr>
            <w:r>
              <w:rPr>
                <w:sz w:val="18"/>
              </w:rPr>
              <w:t>WP3 sanity checks</w:t>
            </w:r>
          </w:p>
        </w:tc>
        <w:tc>
          <w:tcPr>
            <w:tcW w:type="dxa" w:w="6060"/>
            <w:vAlign w:val="center"/>
            <w:tcMar>
              <w:top w:w="80" w:type="dxa"/>
              <w:start w:w="120" w:type="dxa"/>
              <w:bottom w:w="80" w:type="dxa"/>
              <w:end w:w="120" w:type="dxa"/>
            </w:tcMar>
          </w:tcPr>
          <w:p>
            <w:pPr>
              <w:suppressAutoHyphens w:val="true"/>
            </w:pPr>
            <w:r>
              <w:rPr>
                <w:sz w:val="18"/>
              </w:rPr>
              <w:t>Exercises naive, AS, and random policies through the Gymnasium environment.</w:t>
            </w:r>
          </w:p>
        </w:tc>
      </w:tr>
      <w:tr>
        <w:tc>
          <w:tcPr>
            <w:tcW w:type="dxa" w:w="3300"/>
            <w:vAlign w:val="center"/>
            <w:tcMar>
              <w:top w:w="80" w:type="dxa"/>
              <w:start w:w="120" w:type="dxa"/>
              <w:bottom w:w="80" w:type="dxa"/>
              <w:end w:w="120" w:type="dxa"/>
            </w:tcMar>
          </w:tcPr>
          <w:p>
            <w:pPr>
              <w:suppressAutoHyphens w:val="true"/>
            </w:pPr>
            <w:r>
              <w:rPr>
                <w:sz w:val="18"/>
              </w:rPr>
              <w:t>Figure/path checks</w:t>
            </w:r>
          </w:p>
        </w:tc>
        <w:tc>
          <w:tcPr>
            <w:tcW w:type="dxa" w:w="6060"/>
            <w:vAlign w:val="center"/>
            <w:tcMar>
              <w:top w:w="80" w:type="dxa"/>
              <w:start w:w="120" w:type="dxa"/>
              <w:bottom w:w="80" w:type="dxa"/>
              <w:end w:w="120" w:type="dxa"/>
            </w:tcMar>
          </w:tcPr>
          <w:p>
            <w:pPr>
              <w:suppressAutoHyphens w:val="true"/>
            </w:pPr>
            <w:r>
              <w:rPr>
                <w:sz w:val="18"/>
              </w:rPr>
              <w:t>Ensures thesis_33 references existing frozen figure files.</w:t>
            </w:r>
          </w:p>
        </w:tc>
      </w:tr>
      <w:tr>
        <w:tc>
          <w:tcPr>
            <w:tcW w:type="dxa" w:w="3300"/>
            <w:vAlign w:val="center"/>
            <w:tcMar>
              <w:top w:w="80" w:type="dxa"/>
              <w:start w:w="120" w:type="dxa"/>
              <w:bottom w:w="80" w:type="dxa"/>
              <w:end w:w="120" w:type="dxa"/>
            </w:tcMar>
          </w:tcPr>
          <w:p>
            <w:pPr>
              <w:suppressAutoHyphens w:val="true"/>
            </w:pPr>
            <w:r>
              <w:rPr>
                <w:sz w:val="18"/>
              </w:rPr>
              <w:t>Forbidden phrase scan</w:t>
            </w:r>
          </w:p>
        </w:tc>
        <w:tc>
          <w:tcPr>
            <w:tcW w:type="dxa" w:w="6060"/>
            <w:vAlign w:val="center"/>
            <w:tcMar>
              <w:top w:w="80" w:type="dxa"/>
              <w:start w:w="120" w:type="dxa"/>
              <w:bottom w:w="80" w:type="dxa"/>
              <w:end w:w="120" w:type="dxa"/>
            </w:tcMar>
          </w:tcPr>
          <w:p>
            <w:pPr>
              <w:suppressAutoHyphens w:val="true"/>
            </w:pPr>
            <w:r>
              <w:rPr>
                <w:sz w:val="18"/>
              </w:rPr>
              <w:t>Guards against overclaims in the generated draft.</w:t>
            </w:r>
          </w:p>
        </w:tc>
      </w:tr>
    </w:tbl>
    <w:p>
      <w:pPr>
        <w:suppressAutoHyphens w:val="true"/>
      </w:pPr>
    </w:p>
    <w:p>
      <w:pPr>
        <w:pStyle w:val="Heading1"/>
        <w:suppressAutoHyphens w:val="true"/>
      </w:pPr>
      <w:r>
        <w:t>Appendix C Extended Evidence Tables</w:t>
      </w:r>
    </w:p>
    <w:p>
      <w:pPr>
        <w:suppressAutoHyphens w:val="true"/>
      </w:pPr>
      <w:r>
        <w:t>This appendix contains diagnostic material demoted from the main body to keep the report template focused.</w:t>
      </w:r>
    </w:p>
    <w:p>
      <w:pPr>
        <w:keepNext/>
        <w:keepLines/>
        <w:jc w:val="center"/>
        <w:suppressAutoHyphens w:val="true"/>
      </w:pPr>
      <w:r>
        <w:drawing>
          <wp:inline xmlns:a="http://schemas.openxmlformats.org/drawingml/2006/main" xmlns:pic="http://schemas.openxmlformats.org/drawingml/2006/picture">
            <wp:extent cx="5257800" cy="3154680"/>
            <wp:docPr id="11" name="Picture 11"/>
            <wp:cNvGraphicFramePr>
              <a:graphicFrameLocks noChangeAspect="1"/>
            </wp:cNvGraphicFramePr>
            <a:graphic>
              <a:graphicData uri="http://schemas.openxmlformats.org/drawingml/2006/picture">
                <pic:pic>
                  <pic:nvPicPr>
                    <pic:cNvPr id="0" name="fig5_action_analysis.png"/>
                    <pic:cNvPicPr/>
                  </pic:nvPicPr>
                  <pic:blipFill>
                    <a:blip r:embed="rId21"/>
                    <a:stretch>
                      <a:fillRect/>
                    </a:stretch>
                  </pic:blipFill>
                  <pic:spPr>
                    <a:xfrm>
                      <a:off x="0" y="0"/>
                      <a:ext cx="5257800" cy="3154680"/>
                    </a:xfrm>
                    <a:prstGeom prst="rect"/>
                  </pic:spPr>
                </pic:pic>
              </a:graphicData>
            </a:graphic>
          </wp:inline>
        </w:drawing>
      </w:r>
    </w:p>
    <w:p>
      <w:pPr>
        <w:pStyle w:val="Caption"/>
        <w:keepLines/>
        <w:jc w:val="center"/>
        <w:suppressAutoHyphens w:val="true"/>
      </w:pPr>
      <w:r>
        <w:t>Appendix Figure C1. Regime-wise action distribution diagnostic.</w:t>
      </w:r>
    </w:p>
    <w:p>
      <w:pPr>
        <w:keepNext/>
        <w:keepLines/>
        <w:jc w:val="center"/>
        <w:suppressAutoHyphens w:val="true"/>
      </w:pPr>
      <w:r>
        <w:drawing>
          <wp:inline xmlns:a="http://schemas.openxmlformats.org/drawingml/2006/main" xmlns:pic="http://schemas.openxmlformats.org/drawingml/2006/picture">
            <wp:extent cx="5257800" cy="2060489"/>
            <wp:docPr id="12" name="Picture 12"/>
            <wp:cNvGraphicFramePr>
              <a:graphicFrameLocks noChangeAspect="1"/>
            </wp:cNvGraphicFramePr>
            <a:graphic>
              <a:graphicData uri="http://schemas.openxmlformats.org/drawingml/2006/picture">
                <pic:pic>
                  <pic:nvPicPr>
                    <pic:cNvPr id="0" name="fig3_regime_sharpe.png"/>
                    <pic:cNvPicPr/>
                  </pic:nvPicPr>
                  <pic:blipFill>
                    <a:blip r:embed="rId22"/>
                    <a:stretch>
                      <a:fillRect/>
                    </a:stretch>
                  </pic:blipFill>
                  <pic:spPr>
                    <a:xfrm>
                      <a:off x="0" y="0"/>
                      <a:ext cx="5257800" cy="2060489"/>
                    </a:xfrm>
                    <a:prstGeom prst="rect"/>
                  </pic:spPr>
                </pic:pic>
              </a:graphicData>
            </a:graphic>
          </wp:inline>
        </w:drawing>
      </w:r>
    </w:p>
    <w:p>
      <w:pPr>
        <w:pStyle w:val="Caption"/>
        <w:keepLines/>
        <w:jc w:val="center"/>
        <w:suppressAutoHyphens w:val="true"/>
      </w:pPr>
      <w:r>
        <w:t>Appendix Figure C2. Regime-wise Sharpe diagnostic.</w:t>
      </w:r>
    </w:p>
    <w:p>
      <w:pPr>
        <w:suppressAutoHyphens w:val="true"/>
      </w:pPr>
      <w:r>
        <w:br w:type="page"/>
      </w:r>
    </w:p>
    <w:p>
      <w:pPr>
        <w:suppressAutoHyphens w:val="true"/>
      </w:pPr>
      <w:r>
        <w:t>The table below summarizes supporting diagnostics. These items support interpretation and provenance; they do not replace the canonical frozen evidence chain used for the main claims.</w:t>
      </w:r>
    </w:p>
    <w:tbl>
      <w:tblPr>
        <w:tblStyle w:val="TableGrid"/>
        <w:tblW w:type="dxa" w:w="9360"/>
        <w:tblLook w:firstColumn="1" w:firstRow="1" w:lastColumn="0" w:lastRow="0" w:noHBand="0" w:noVBand="1" w:val="04A0"/>
        <w:tblInd w:w="120" w:type="dxa"/>
        <w:tblLayout w:type="fixed"/>
      </w:tblPr>
      <w:tblGrid>
        <w:gridCol w:w="2800"/>
        <w:gridCol w:w="2200"/>
        <w:gridCol w:w="4360"/>
      </w:tblGrid>
      <w:tr>
        <w:tc>
          <w:tcPr>
            <w:tcW w:type="dxa" w:w="2800"/>
            <w:shd w:fill="F2F4F7"/>
            <w:vAlign w:val="center"/>
            <w:tcMar>
              <w:top w:w="80" w:type="dxa"/>
              <w:start w:w="120" w:type="dxa"/>
              <w:bottom w:w="80" w:type="dxa"/>
              <w:end w:w="120" w:type="dxa"/>
            </w:tcMar>
          </w:tcPr>
          <w:p>
            <w:pPr>
              <w:suppressAutoHyphens w:val="true"/>
            </w:pPr>
            <w:r>
              <w:rPr>
                <w:b/>
                <w:sz w:val="18"/>
              </w:rPr>
              <w:t>Diagnostic</w:t>
            </w:r>
          </w:p>
        </w:tc>
        <w:tc>
          <w:tcPr>
            <w:tcW w:type="dxa" w:w="2200"/>
            <w:shd w:fill="F2F4F7"/>
            <w:vAlign w:val="center"/>
            <w:tcMar>
              <w:top w:w="80" w:type="dxa"/>
              <w:start w:w="120" w:type="dxa"/>
              <w:bottom w:w="80" w:type="dxa"/>
              <w:end w:w="120" w:type="dxa"/>
            </w:tcMar>
          </w:tcPr>
          <w:p>
            <w:pPr>
              <w:suppressAutoHyphens w:val="true"/>
            </w:pPr>
            <w:r>
              <w:rPr>
                <w:b/>
                <w:sz w:val="18"/>
              </w:rPr>
              <w:t>Status</w:t>
            </w:r>
          </w:p>
        </w:tc>
        <w:tc>
          <w:tcPr>
            <w:tcW w:type="dxa" w:w="4360"/>
            <w:shd w:fill="F2F4F7"/>
            <w:vAlign w:val="center"/>
            <w:tcMar>
              <w:top w:w="80" w:type="dxa"/>
              <w:start w:w="120" w:type="dxa"/>
              <w:bottom w:w="80" w:type="dxa"/>
              <w:end w:w="120" w:type="dxa"/>
            </w:tcMar>
          </w:tcPr>
          <w:p>
            <w:pPr>
              <w:suppressAutoHyphens w:val="true"/>
            </w:pPr>
            <w:r>
              <w:rPr>
                <w:b/>
                <w:sz w:val="18"/>
              </w:rPr>
              <w:t>Interpretation</w:t>
            </w:r>
          </w:p>
        </w:tc>
      </w:tr>
      <w:tr>
        <w:tc>
          <w:tcPr>
            <w:tcW w:type="dxa" w:w="2800"/>
            <w:vAlign w:val="center"/>
            <w:tcMar>
              <w:top w:w="80" w:type="dxa"/>
              <w:start w:w="120" w:type="dxa"/>
              <w:bottom w:w="80" w:type="dxa"/>
              <w:end w:w="120" w:type="dxa"/>
            </w:tcMar>
          </w:tcPr>
          <w:p>
            <w:pPr>
              <w:suppressAutoHyphens w:val="true"/>
            </w:pPr>
            <w:r>
              <w:rPr>
                <w:sz w:val="18"/>
              </w:rPr>
              <w:t>Post-hoc signal diagnostics</w:t>
            </w:r>
          </w:p>
        </w:tc>
        <w:tc>
          <w:tcPr>
            <w:tcW w:type="dxa" w:w="2200"/>
            <w:vAlign w:val="center"/>
            <w:tcMar>
              <w:top w:w="80" w:type="dxa"/>
              <w:start w:w="120" w:type="dxa"/>
              <w:bottom w:w="80" w:type="dxa"/>
              <w:end w:w="120" w:type="dxa"/>
            </w:tcMar>
          </w:tcPr>
          <w:p>
            <w:pPr>
              <w:suppressAutoHyphens w:val="true"/>
            </w:pPr>
            <w:r>
              <w:rPr>
                <w:sz w:val="18"/>
              </w:rPr>
              <w:t>Supporting only</w:t>
            </w:r>
          </w:p>
        </w:tc>
        <w:tc>
          <w:tcPr>
            <w:tcW w:type="dxa" w:w="4360"/>
            <w:vAlign w:val="center"/>
            <w:tcMar>
              <w:top w:w="80" w:type="dxa"/>
              <w:start w:w="120" w:type="dxa"/>
              <w:bottom w:w="80" w:type="dxa"/>
              <w:end w:w="120" w:type="dxa"/>
            </w:tcMar>
          </w:tcPr>
          <w:p>
            <w:pPr>
              <w:suppressAutoHyphens w:val="true"/>
            </w:pPr>
            <w:r>
              <w:rPr>
                <w:sz w:val="18"/>
              </w:rPr>
              <w:t>Consistent with signal redundancy but not primary evidence.</w:t>
            </w:r>
          </w:p>
        </w:tc>
      </w:tr>
      <w:tr>
        <w:tc>
          <w:tcPr>
            <w:tcW w:type="dxa" w:w="2800"/>
            <w:vAlign w:val="center"/>
            <w:tcMar>
              <w:top w:w="80" w:type="dxa"/>
              <w:start w:w="120" w:type="dxa"/>
              <w:bottom w:w="80" w:type="dxa"/>
              <w:end w:w="120" w:type="dxa"/>
            </w:tcMar>
          </w:tcPr>
          <w:p>
            <w:pPr>
              <w:suppressAutoHyphens w:val="true"/>
            </w:pPr>
            <w:r>
              <w:rPr>
                <w:sz w:val="18"/>
              </w:rPr>
              <w:t>WP5.5 signal audit</w:t>
            </w:r>
          </w:p>
        </w:tc>
        <w:tc>
          <w:tcPr>
            <w:tcW w:type="dxa" w:w="2200"/>
            <w:vAlign w:val="center"/>
            <w:tcMar>
              <w:top w:w="80" w:type="dxa"/>
              <w:start w:w="120" w:type="dxa"/>
              <w:bottom w:w="80" w:type="dxa"/>
              <w:end w:w="120" w:type="dxa"/>
            </w:tcMar>
          </w:tcPr>
          <w:p>
            <w:pPr>
              <w:suppressAutoHyphens w:val="true"/>
            </w:pPr>
            <w:r>
              <w:rPr>
                <w:sz w:val="18"/>
              </w:rPr>
              <w:t>Offline calibration</w:t>
            </w:r>
          </w:p>
        </w:tc>
        <w:tc>
          <w:tcPr>
            <w:tcW w:type="dxa" w:w="4360"/>
            <w:vAlign w:val="center"/>
            <w:tcMar>
              <w:top w:w="80" w:type="dxa"/>
              <w:start w:w="120" w:type="dxa"/>
              <w:bottom w:w="80" w:type="dxa"/>
              <w:end w:w="120" w:type="dxa"/>
            </w:tcMar>
          </w:tcPr>
          <w:p>
            <w:pPr>
              <w:suppressAutoHyphens w:val="true"/>
            </w:pPr>
            <w:r>
              <w:rPr>
                <w:sz w:val="18"/>
              </w:rPr>
              <w:t>Supports WP6 degradation design; no PPO training.</w:t>
            </w:r>
          </w:p>
        </w:tc>
      </w:tr>
      <w:tr>
        <w:tc>
          <w:tcPr>
            <w:tcW w:type="dxa" w:w="2800"/>
            <w:vAlign w:val="center"/>
            <w:tcMar>
              <w:top w:w="80" w:type="dxa"/>
              <w:start w:w="120" w:type="dxa"/>
              <w:bottom w:w="80" w:type="dxa"/>
              <w:end w:w="120" w:type="dxa"/>
            </w:tcMar>
          </w:tcPr>
          <w:p>
            <w:pPr>
              <w:suppressAutoHyphens w:val="true"/>
            </w:pPr>
            <w:r>
              <w:rPr>
                <w:sz w:val="18"/>
              </w:rPr>
              <w:t>Detector robustness statistics</w:t>
            </w:r>
          </w:p>
        </w:tc>
        <w:tc>
          <w:tcPr>
            <w:tcW w:type="dxa" w:w="2200"/>
            <w:vAlign w:val="center"/>
            <w:tcMar>
              <w:top w:w="80" w:type="dxa"/>
              <w:start w:w="120" w:type="dxa"/>
              <w:bottom w:w="80" w:type="dxa"/>
              <w:end w:w="120" w:type="dxa"/>
            </w:tcMar>
          </w:tcPr>
          <w:p>
            <w:pPr>
              <w:suppressAutoHyphens w:val="true"/>
            </w:pPr>
            <w:r>
              <w:rPr>
                <w:sz w:val="18"/>
              </w:rPr>
              <w:t>Protected evidence</w:t>
            </w:r>
          </w:p>
        </w:tc>
        <w:tc>
          <w:tcPr>
            <w:tcW w:type="dxa" w:w="4360"/>
            <w:vAlign w:val="center"/>
            <w:tcMar>
              <w:top w:w="80" w:type="dxa"/>
              <w:start w:w="120" w:type="dxa"/>
              <w:bottom w:w="80" w:type="dxa"/>
              <w:end w:w="120" w:type="dxa"/>
            </w:tcMar>
          </w:tcPr>
          <w:p>
            <w:pPr>
              <w:suppressAutoHyphens w:val="true"/>
            </w:pPr>
            <w:r>
              <w:rPr>
                <w:sz w:val="18"/>
              </w:rPr>
              <w:t>Addresses poor-detector objection without changing main detector caveat.</w:t>
            </w:r>
          </w:p>
        </w:tc>
      </w:tr>
      <w:tr>
        <w:tc>
          <w:tcPr>
            <w:tcW w:type="dxa" w:w="2800"/>
            <w:vAlign w:val="center"/>
            <w:tcMar>
              <w:top w:w="80" w:type="dxa"/>
              <w:start w:w="120" w:type="dxa"/>
              <w:bottom w:w="80" w:type="dxa"/>
              <w:end w:w="120" w:type="dxa"/>
            </w:tcMar>
          </w:tcPr>
          <w:p>
            <w:pPr>
              <w:suppressAutoHyphens w:val="true"/>
            </w:pPr>
            <w:r>
              <w:rPr>
                <w:sz w:val="18"/>
              </w:rPr>
              <w:t>WP6 paired summaries</w:t>
            </w:r>
          </w:p>
        </w:tc>
        <w:tc>
          <w:tcPr>
            <w:tcW w:type="dxa" w:w="2200"/>
            <w:vAlign w:val="center"/>
            <w:tcMar>
              <w:top w:w="80" w:type="dxa"/>
              <w:start w:w="120" w:type="dxa"/>
              <w:bottom w:w="80" w:type="dxa"/>
              <w:end w:w="120" w:type="dxa"/>
            </w:tcMar>
          </w:tcPr>
          <w:p>
            <w:pPr>
              <w:suppressAutoHyphens w:val="true"/>
            </w:pPr>
            <w:r>
              <w:rPr>
                <w:sz w:val="18"/>
              </w:rPr>
              <w:t>Protected evidence</w:t>
            </w:r>
          </w:p>
        </w:tc>
        <w:tc>
          <w:tcPr>
            <w:tcW w:type="dxa" w:w="4360"/>
            <w:vAlign w:val="center"/>
            <w:tcMar>
              <w:top w:w="80" w:type="dxa"/>
              <w:start w:w="120" w:type="dxa"/>
              <w:bottom w:w="80" w:type="dxa"/>
              <w:end w:w="120" w:type="dxa"/>
            </w:tcMar>
          </w:tcPr>
          <w:p>
            <w:pPr>
              <w:suppressAutoHyphens w:val="true"/>
            </w:pPr>
            <w:r>
              <w:rPr>
                <w:sz w:val="18"/>
              </w:rPr>
              <w:t>Supports refined interpretation of the signal-informativeness sweep.</w:t>
            </w:r>
          </w:p>
        </w:tc>
      </w:tr>
    </w:tbl>
    <w:p>
      <w:pPr>
        <w:suppressAutoHyphens w:val="true"/>
      </w:pPr>
    </w:p>
    <w:p>
      <w:pPr>
        <w:suppressAutoHyphens w:val="true"/>
      </w:pPr>
      <w:r>
        <w:t>This separation keeps the appendix readable while preserving the boundary between primary experiment evidence and supporting diagnostics.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AutoHyphens w:val="true"/>
    </w:pPr>
    <w:r>
      <w:rPr>
        <w:color w:val="555555"/>
        <w:sz w:val="16"/>
      </w:rPr>
      <w:t>Academic-polish draft; frozen evidence is not regenerated.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uppressAutoHyphens w:val="true"/>
    </w:pPr>
    <w:r>
      <w:rPr>
        <w:color w:val="555555"/>
        <w:sz w:val="18"/>
      </w:rPr>
      <w:t>HFMM-RL MSc Thesis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