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High-Frequency Market Making via Reinforcement Learning under Different Volatility Regimes</w:t>
      </w:r>
    </w:p>
    <w:p/>
    <w:p>
      <w:pPr>
        <w:jc w:val="center"/>
      </w:pPr>
      <w:r>
        <w:rPr>
          <w:b/>
          <w:sz w:val="30"/>
        </w:rPr>
        <w:t>Technical Report Template Adaptation / MSc Thesis Draft</w:t>
      </w:r>
    </w:p>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r>
              <w:rPr>
                <w:b/>
                <w:sz w:val="18"/>
              </w:rPr>
              <w:t>Field</w:t>
            </w:r>
          </w:p>
        </w:tc>
        <w:tc>
          <w:tcPr>
            <w:tcW w:type="dxa" w:w="7160"/>
            <w:shd w:fill="F2F4F7"/>
            <w:vAlign w:val="center"/>
            <w:tcMar>
              <w:top w:w="80" w:type="dxa"/>
              <w:start w:w="120" w:type="dxa"/>
              <w:bottom w:w="80" w:type="dxa"/>
              <w:end w:w="120" w:type="dxa"/>
            </w:tcMar>
          </w:tcPr>
          <w:p>
            <w:r>
              <w:rPr>
                <w:b/>
                <w:sz w:val="18"/>
              </w:rPr>
              <w:t>Value</w:t>
            </w:r>
          </w:p>
        </w:tc>
      </w:tr>
      <w:tr>
        <w:tc>
          <w:tcPr>
            <w:tcW w:type="dxa" w:w="2200"/>
            <w:vAlign w:val="center"/>
            <w:tcMar>
              <w:top w:w="80" w:type="dxa"/>
              <w:start w:w="120" w:type="dxa"/>
              <w:bottom w:w="80" w:type="dxa"/>
              <w:end w:w="120" w:type="dxa"/>
            </w:tcMar>
          </w:tcPr>
          <w:p>
            <w:r>
              <w:rPr>
                <w:sz w:val="18"/>
              </w:rPr>
              <w:t>Author</w:t>
            </w:r>
          </w:p>
        </w:tc>
        <w:tc>
          <w:tcPr>
            <w:tcW w:type="dxa" w:w="7160"/>
            <w:vAlign w:val="center"/>
            <w:tcMar>
              <w:top w:w="80" w:type="dxa"/>
              <w:start w:w="120" w:type="dxa"/>
              <w:bottom w:w="80" w:type="dxa"/>
              <w:end w:w="120" w:type="dxa"/>
            </w:tcMar>
          </w:tcPr>
          <w:p>
            <w:r>
              <w:rPr>
                <w:sz w:val="18"/>
              </w:rPr>
              <w:t>Onur Emiroglu</w:t>
            </w:r>
          </w:p>
        </w:tc>
      </w:tr>
      <w:tr>
        <w:tc>
          <w:tcPr>
            <w:tcW w:type="dxa" w:w="2200"/>
            <w:vAlign w:val="center"/>
            <w:tcMar>
              <w:top w:w="80" w:type="dxa"/>
              <w:start w:w="120" w:type="dxa"/>
              <w:bottom w:w="80" w:type="dxa"/>
              <w:end w:w="120" w:type="dxa"/>
            </w:tcMar>
          </w:tcPr>
          <w:p>
            <w:r>
              <w:rPr>
                <w:sz w:val="18"/>
              </w:rPr>
              <w:t>Programme</w:t>
            </w:r>
          </w:p>
        </w:tc>
        <w:tc>
          <w:tcPr>
            <w:tcW w:type="dxa" w:w="7160"/>
            <w:vAlign w:val="center"/>
            <w:tcMar>
              <w:top w:w="80" w:type="dxa"/>
              <w:start w:w="120" w:type="dxa"/>
              <w:bottom w:w="80" w:type="dxa"/>
              <w:end w:w="120" w:type="dxa"/>
            </w:tcMar>
          </w:tcPr>
          <w:p>
            <w:r>
              <w:rPr>
                <w:sz w:val="18"/>
              </w:rPr>
              <w:t>Financial Engineering MSc Programme</w:t>
            </w:r>
          </w:p>
        </w:tc>
      </w:tr>
      <w:tr>
        <w:tc>
          <w:tcPr>
            <w:tcW w:type="dxa" w:w="2200"/>
            <w:vAlign w:val="center"/>
            <w:tcMar>
              <w:top w:w="80" w:type="dxa"/>
              <w:start w:w="120" w:type="dxa"/>
              <w:bottom w:w="80" w:type="dxa"/>
              <w:end w:w="120" w:type="dxa"/>
            </w:tcMar>
          </w:tcPr>
          <w:p>
            <w:r>
              <w:rPr>
                <w:sz w:val="18"/>
              </w:rPr>
              <w:t>Institution</w:t>
            </w:r>
          </w:p>
        </w:tc>
        <w:tc>
          <w:tcPr>
            <w:tcW w:type="dxa" w:w="7160"/>
            <w:vAlign w:val="center"/>
            <w:tcMar>
              <w:top w:w="80" w:type="dxa"/>
              <w:start w:w="120" w:type="dxa"/>
              <w:bottom w:w="80" w:type="dxa"/>
              <w:end w:w="120" w:type="dxa"/>
            </w:tcMar>
          </w:tcPr>
          <w:p>
            <w:r>
              <w:rPr>
                <w:sz w:val="18"/>
              </w:rPr>
              <w:t>Karlsruhe Institute of Technology</w:t>
            </w:r>
          </w:p>
        </w:tc>
      </w:tr>
      <w:tr>
        <w:tc>
          <w:tcPr>
            <w:tcW w:type="dxa" w:w="2200"/>
            <w:vAlign w:val="center"/>
            <w:tcMar>
              <w:top w:w="80" w:type="dxa"/>
              <w:start w:w="120" w:type="dxa"/>
              <w:bottom w:w="80" w:type="dxa"/>
              <w:end w:w="120" w:type="dxa"/>
            </w:tcMar>
          </w:tcPr>
          <w:p>
            <w:r>
              <w:rPr>
                <w:sz w:val="18"/>
              </w:rPr>
              <w:t>Supervisor</w:t>
            </w:r>
          </w:p>
        </w:tc>
        <w:tc>
          <w:tcPr>
            <w:tcW w:type="dxa" w:w="7160"/>
            <w:vAlign w:val="center"/>
            <w:tcMar>
              <w:top w:w="80" w:type="dxa"/>
              <w:start w:w="120" w:type="dxa"/>
              <w:bottom w:w="80" w:type="dxa"/>
              <w:end w:w="120" w:type="dxa"/>
            </w:tcMar>
          </w:tcPr>
          <w:p>
            <w:r>
              <w:rPr>
                <w:sz w:val="18"/>
              </w:rPr>
              <w:t>[Supervisor to be inserted]</w:t>
            </w:r>
          </w:p>
        </w:tc>
      </w:tr>
      <w:tr>
        <w:tc>
          <w:tcPr>
            <w:tcW w:type="dxa" w:w="2200"/>
            <w:vAlign w:val="center"/>
            <w:tcMar>
              <w:top w:w="80" w:type="dxa"/>
              <w:start w:w="120" w:type="dxa"/>
              <w:bottom w:w="80" w:type="dxa"/>
              <w:end w:w="120" w:type="dxa"/>
            </w:tcMar>
          </w:tcPr>
          <w:p>
            <w:r>
              <w:rPr>
                <w:sz w:val="18"/>
              </w:rPr>
              <w:t>Matriculation No.</w:t>
            </w:r>
          </w:p>
        </w:tc>
        <w:tc>
          <w:tcPr>
            <w:tcW w:type="dxa" w:w="7160"/>
            <w:vAlign w:val="center"/>
            <w:tcMar>
              <w:top w:w="80" w:type="dxa"/>
              <w:start w:w="120" w:type="dxa"/>
              <w:bottom w:w="80" w:type="dxa"/>
              <w:end w:w="120" w:type="dxa"/>
            </w:tcMar>
          </w:tcPr>
          <w:p>
            <w:r>
              <w:rPr>
                <w:sz w:val="18"/>
              </w:rPr>
              <w:t>[Matriculation number to be inserted]</w:t>
            </w:r>
          </w:p>
        </w:tc>
      </w:tr>
      <w:tr>
        <w:tc>
          <w:tcPr>
            <w:tcW w:type="dxa" w:w="2200"/>
            <w:vAlign w:val="center"/>
            <w:tcMar>
              <w:top w:w="80" w:type="dxa"/>
              <w:start w:w="120" w:type="dxa"/>
              <w:bottom w:w="80" w:type="dxa"/>
              <w:end w:w="120" w:type="dxa"/>
            </w:tcMar>
          </w:tcPr>
          <w:p>
            <w:r>
              <w:rPr>
                <w:sz w:val="18"/>
              </w:rPr>
              <w:t>Submission / Draft date</w:t>
            </w:r>
          </w:p>
        </w:tc>
        <w:tc>
          <w:tcPr>
            <w:tcW w:type="dxa" w:w="7160"/>
            <w:vAlign w:val="center"/>
            <w:tcMar>
              <w:top w:w="80" w:type="dxa"/>
              <w:start w:w="120" w:type="dxa"/>
              <w:bottom w:w="80" w:type="dxa"/>
              <w:end w:w="120" w:type="dxa"/>
            </w:tcMar>
          </w:tcPr>
          <w:p>
            <w:r>
              <w:rPr>
                <w:sz w:val="18"/>
              </w:rPr>
              <w:t>May 2026</w:t>
            </w:r>
          </w:p>
        </w:tc>
      </w:tr>
      <w:tr>
        <w:tc>
          <w:tcPr>
            <w:tcW w:type="dxa" w:w="2200"/>
            <w:vAlign w:val="center"/>
            <w:tcMar>
              <w:top w:w="80" w:type="dxa"/>
              <w:start w:w="120" w:type="dxa"/>
              <w:bottom w:w="80" w:type="dxa"/>
              <w:end w:w="120" w:type="dxa"/>
            </w:tcMar>
          </w:tcPr>
          <w:p>
            <w:r>
              <w:rPr>
                <w:sz w:val="18"/>
              </w:rPr>
              <w:t>Git Repository</w:t>
            </w:r>
          </w:p>
        </w:tc>
        <w:tc>
          <w:tcPr>
            <w:tcW w:type="dxa" w:w="7160"/>
            <w:vAlign w:val="center"/>
            <w:tcMar>
              <w:top w:w="80" w:type="dxa"/>
              <w:start w:w="120" w:type="dxa"/>
              <w:bottom w:w="80" w:type="dxa"/>
              <w:end w:w="120" w:type="dxa"/>
            </w:tcMar>
          </w:tcPr>
          <w:p>
            <w:r>
              <w:rPr>
                <w:sz w:val="18"/>
              </w:rPr>
              <w:t>[Repository URL to be inserted]</w:t>
            </w:r>
          </w:p>
        </w:tc>
      </w:tr>
      <w:tr>
        <w:tc>
          <w:tcPr>
            <w:tcW w:type="dxa" w:w="2200"/>
            <w:vAlign w:val="center"/>
            <w:tcMar>
              <w:top w:w="80" w:type="dxa"/>
              <w:start w:w="120" w:type="dxa"/>
              <w:bottom w:w="80" w:type="dxa"/>
              <w:end w:w="120" w:type="dxa"/>
            </w:tcMar>
          </w:tcPr>
          <w:p>
            <w:r>
              <w:rPr>
                <w:sz w:val="18"/>
              </w:rPr>
              <w:t>Frozen baseline</w:t>
            </w:r>
          </w:p>
        </w:tc>
        <w:tc>
          <w:tcPr>
            <w:tcW w:type="dxa" w:w="7160"/>
            <w:vAlign w:val="center"/>
            <w:tcMar>
              <w:top w:w="80" w:type="dxa"/>
              <w:start w:w="120" w:type="dxa"/>
              <w:bottom w:w="80" w:type="dxa"/>
              <w:end w:w="120" w:type="dxa"/>
            </w:tcMar>
          </w:tcPr>
          <w:p>
            <w:r>
              <w:rPr>
                <w:sz w:val="18"/>
              </w:rPr>
              <w:t>manuscript/thesis_29.pdf, tag thesis-v29-frozen</w:t>
            </w:r>
          </w:p>
        </w:tc>
      </w:tr>
      <w:tr>
        <w:tc>
          <w:tcPr>
            <w:tcW w:type="dxa" w:w="2200"/>
            <w:vAlign w:val="center"/>
            <w:tcMar>
              <w:top w:w="80" w:type="dxa"/>
              <w:start w:w="120" w:type="dxa"/>
              <w:bottom w:w="80" w:type="dxa"/>
              <w:end w:w="120" w:type="dxa"/>
            </w:tcMar>
          </w:tcPr>
          <w:p>
            <w:r>
              <w:rPr>
                <w:sz w:val="18"/>
              </w:rPr>
              <w:t>Source draft</w:t>
            </w:r>
          </w:p>
        </w:tc>
        <w:tc>
          <w:tcPr>
            <w:tcW w:type="dxa" w:w="7160"/>
            <w:vAlign w:val="center"/>
            <w:tcMar>
              <w:top w:w="80" w:type="dxa"/>
              <w:start w:w="120" w:type="dxa"/>
              <w:bottom w:w="80" w:type="dxa"/>
              <w:end w:w="120" w:type="dxa"/>
            </w:tcMar>
          </w:tcPr>
          <w:p>
            <w:r>
              <w:rPr>
                <w:sz w:val="18"/>
              </w:rPr>
              <w:t>manuscript/thesis_30.pdf / .docx</w:t>
            </w:r>
          </w:p>
        </w:tc>
      </w:tr>
      <w:tr>
        <w:tc>
          <w:tcPr>
            <w:tcW w:type="dxa" w:w="2200"/>
            <w:vAlign w:val="center"/>
            <w:tcMar>
              <w:top w:w="80" w:type="dxa"/>
              <w:start w:w="120" w:type="dxa"/>
              <w:bottom w:w="80" w:type="dxa"/>
              <w:end w:w="120" w:type="dxa"/>
            </w:tcMar>
          </w:tcPr>
          <w:p>
            <w:r>
              <w:rPr>
                <w:sz w:val="18"/>
              </w:rPr>
              <w:t>Decision log</w:t>
            </w:r>
          </w:p>
        </w:tc>
        <w:tc>
          <w:tcPr>
            <w:tcW w:type="dxa" w:w="7160"/>
            <w:vAlign w:val="center"/>
            <w:tcMar>
              <w:top w:w="80" w:type="dxa"/>
              <w:start w:w="120" w:type="dxa"/>
              <w:bottom w:w="80" w:type="dxa"/>
              <w:end w:w="120" w:type="dxa"/>
            </w:tcMar>
          </w:tcPr>
          <w:p>
            <w:r>
              <w:rPr>
                <w:sz w:val="18"/>
              </w:rPr>
              <w:t>manuscript/decisions_log_13.pdf</w:t>
            </w:r>
          </w:p>
        </w:tc>
      </w:tr>
    </w:tbl>
    <w:p/>
    <w:p>
      <w:pPr>
        <w:jc w:val="center"/>
      </w:pPr>
      <w:r>
        <w:rPr>
          <w:b/>
        </w:rPr>
        <w:t>Template-adapted draft; frozen evidence is not regenerated.</w:t>
      </w:r>
    </w:p>
    <w:p>
      <w:r>
        <w:t>In the tested controlled synthetic HFMM environment, explicit categorical volatility-regime labels do not provide robust incremental value once sigma_hat is already observed by the PPO policy. The results are consistent with signal redundancy.</w:t>
      </w:r>
    </w:p>
    <w:p>
      <w:r>
        <w:br w:type="page"/>
      </w:r>
    </w:p>
    <w:p>
      <w:pPr>
        <w:pStyle w:val="Heading1"/>
      </w:pPr>
      <w:r>
        <w:t>Abstract</w:t>
      </w:r>
    </w:p>
    <w:p>
      <w:r>
        <w:t>This report studies whether explicit volatility-regime information improves a PPO-based high-frequency market-making agent in a controlled synthetic limit-order-book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WP5/WP6 experiments: out-of-sample evaluation, detector robustness, oracle-label ablations, regime-conditional reward shaping, mild model misspecification, and a signal-informativeness sweep. The strongest interpretation is therefore conditional and synthetic-market bounded: the explicit regime label mostly repackages volatility information already present in the continuous signal. The report makes no live-trading deployment claim and does not claim to prove the internal PPO mechanism.</w:t>
      </w:r>
    </w:p>
    <w:p>
      <w:pPr>
        <w:pStyle w:val="Heading1"/>
      </w:pPr>
      <w:r>
        <w:t>Symbols, Abbreviations, and Glossary</w:t>
      </w:r>
    </w:p>
    <w:tbl>
      <w:tblPr>
        <w:tblStyle w:val="TableGrid"/>
        <w:tblW w:type="dxa" w:w="9360"/>
        <w:tblLook w:firstColumn="1" w:firstRow="1" w:lastColumn="0" w:lastRow="0" w:noHBand="0" w:noVBand="1" w:val="04A0"/>
        <w:tblInd w:w="120" w:type="dxa"/>
        <w:tblLayout w:type="fixed"/>
      </w:tblPr>
      <w:tblGrid>
        <w:gridCol w:w="1600"/>
        <w:gridCol w:w="7760"/>
      </w:tblGrid>
      <w:tr>
        <w:tc>
          <w:tcPr>
            <w:tcW w:type="dxa" w:w="1600"/>
            <w:shd w:fill="F2F4F7"/>
            <w:vAlign w:val="center"/>
            <w:tcMar>
              <w:top w:w="80" w:type="dxa"/>
              <w:start w:w="120" w:type="dxa"/>
              <w:bottom w:w="80" w:type="dxa"/>
              <w:end w:w="120" w:type="dxa"/>
            </w:tcMar>
          </w:tcPr>
          <w:p>
            <w:r>
              <w:rPr>
                <w:b/>
                <w:sz w:val="18"/>
              </w:rPr>
              <w:t>Symbol</w:t>
            </w:r>
          </w:p>
        </w:tc>
        <w:tc>
          <w:tcPr>
            <w:tcW w:type="dxa" w:w="7760"/>
            <w:shd w:fill="F2F4F7"/>
            <w:vAlign w:val="center"/>
            <w:tcMar>
              <w:top w:w="80" w:type="dxa"/>
              <w:start w:w="120" w:type="dxa"/>
              <w:bottom w:w="80" w:type="dxa"/>
              <w:end w:w="120" w:type="dxa"/>
            </w:tcMar>
          </w:tcPr>
          <w:p>
            <w:r>
              <w:rPr>
                <w:b/>
                <w:sz w:val="18"/>
              </w:rPr>
              <w:t>Meaning</w:t>
            </w:r>
          </w:p>
        </w:tc>
      </w:tr>
      <w:tr>
        <w:tc>
          <w:tcPr>
            <w:tcW w:type="dxa" w:w="1600"/>
            <w:vAlign w:val="center"/>
            <w:tcMar>
              <w:top w:w="80" w:type="dxa"/>
              <w:start w:w="120" w:type="dxa"/>
              <w:bottom w:w="80" w:type="dxa"/>
              <w:end w:w="120" w:type="dxa"/>
            </w:tcMar>
          </w:tcPr>
          <w:p>
            <w:r>
              <w:rPr>
                <w:sz w:val="18"/>
              </w:rPr>
              <w:t>S_t</w:t>
            </w:r>
          </w:p>
        </w:tc>
        <w:tc>
          <w:tcPr>
            <w:tcW w:type="dxa" w:w="7760"/>
            <w:vAlign w:val="center"/>
            <w:tcMar>
              <w:top w:w="80" w:type="dxa"/>
              <w:start w:w="120" w:type="dxa"/>
              <w:bottom w:w="80" w:type="dxa"/>
              <w:end w:w="120" w:type="dxa"/>
            </w:tcMar>
          </w:tcPr>
          <w:p>
            <w:r>
              <w:rPr>
                <w:sz w:val="18"/>
              </w:rPr>
              <w:t>Mid-price at time step t.</w:t>
            </w:r>
          </w:p>
        </w:tc>
      </w:tr>
      <w:tr>
        <w:tc>
          <w:tcPr>
            <w:tcW w:type="dxa" w:w="1600"/>
            <w:vAlign w:val="center"/>
            <w:tcMar>
              <w:top w:w="80" w:type="dxa"/>
              <w:start w:w="120" w:type="dxa"/>
              <w:bottom w:w="80" w:type="dxa"/>
              <w:end w:w="120" w:type="dxa"/>
            </w:tcMar>
          </w:tcPr>
          <w:p>
            <w:r>
              <w:rPr>
                <w:sz w:val="18"/>
              </w:rPr>
              <w:t>q_t</w:t>
            </w:r>
          </w:p>
        </w:tc>
        <w:tc>
          <w:tcPr>
            <w:tcW w:type="dxa" w:w="7760"/>
            <w:vAlign w:val="center"/>
            <w:tcMar>
              <w:top w:w="80" w:type="dxa"/>
              <w:start w:w="120" w:type="dxa"/>
              <w:bottom w:w="80" w:type="dxa"/>
              <w:end w:w="120" w:type="dxa"/>
            </w:tcMar>
          </w:tcPr>
          <w:p>
            <w:r>
              <w:rPr>
                <w:sz w:val="18"/>
              </w:rPr>
              <w:t>Inventory after step t.</w:t>
            </w:r>
          </w:p>
        </w:tc>
      </w:tr>
      <w:tr>
        <w:tc>
          <w:tcPr>
            <w:tcW w:type="dxa" w:w="1600"/>
            <w:vAlign w:val="center"/>
            <w:tcMar>
              <w:top w:w="80" w:type="dxa"/>
              <w:start w:w="120" w:type="dxa"/>
              <w:bottom w:w="80" w:type="dxa"/>
              <w:end w:w="120" w:type="dxa"/>
            </w:tcMar>
          </w:tcPr>
          <w:p>
            <w:r>
              <w:rPr>
                <w:sz w:val="18"/>
              </w:rPr>
              <w:t>X_t</w:t>
            </w:r>
          </w:p>
        </w:tc>
        <w:tc>
          <w:tcPr>
            <w:tcW w:type="dxa" w:w="7760"/>
            <w:vAlign w:val="center"/>
            <w:tcMar>
              <w:top w:w="80" w:type="dxa"/>
              <w:start w:w="120" w:type="dxa"/>
              <w:bottom w:w="80" w:type="dxa"/>
              <w:end w:w="120" w:type="dxa"/>
            </w:tcMar>
          </w:tcPr>
          <w:p>
            <w:r>
              <w:rPr>
                <w:sz w:val="18"/>
              </w:rPr>
              <w:t>Cash account after step t.</w:t>
            </w:r>
          </w:p>
        </w:tc>
      </w:tr>
      <w:tr>
        <w:tc>
          <w:tcPr>
            <w:tcW w:type="dxa" w:w="1600"/>
            <w:vAlign w:val="center"/>
            <w:tcMar>
              <w:top w:w="80" w:type="dxa"/>
              <w:start w:w="120" w:type="dxa"/>
              <w:bottom w:w="80" w:type="dxa"/>
              <w:end w:w="120" w:type="dxa"/>
            </w:tcMar>
          </w:tcPr>
          <w:p>
            <w:r>
              <w:rPr>
                <w:sz w:val="18"/>
              </w:rPr>
              <w:t>W_t</w:t>
            </w:r>
          </w:p>
        </w:tc>
        <w:tc>
          <w:tcPr>
            <w:tcW w:type="dxa" w:w="7760"/>
            <w:vAlign w:val="center"/>
            <w:tcMar>
              <w:top w:w="80" w:type="dxa"/>
              <w:start w:w="120" w:type="dxa"/>
              <w:bottom w:w="80" w:type="dxa"/>
              <w:end w:w="120" w:type="dxa"/>
            </w:tcMar>
          </w:tcPr>
          <w:p>
            <w:r>
              <w:rPr>
                <w:sz w:val="18"/>
              </w:rPr>
              <w:t>Marked-to-market wealth or equity, W_t = X_t + q_t S_t.</w:t>
            </w:r>
          </w:p>
        </w:tc>
      </w:tr>
      <w:tr>
        <w:tc>
          <w:tcPr>
            <w:tcW w:type="dxa" w:w="1600"/>
            <w:vAlign w:val="center"/>
            <w:tcMar>
              <w:top w:w="80" w:type="dxa"/>
              <w:start w:w="120" w:type="dxa"/>
              <w:bottom w:w="80" w:type="dxa"/>
              <w:end w:w="120" w:type="dxa"/>
            </w:tcMar>
          </w:tcPr>
          <w:p>
            <w:r>
              <w:rPr>
                <w:sz w:val="18"/>
              </w:rPr>
              <w:t>sigma_hat</w:t>
            </w:r>
          </w:p>
        </w:tc>
        <w:tc>
          <w:tcPr>
            <w:tcW w:type="dxa" w:w="7760"/>
            <w:vAlign w:val="center"/>
            <w:tcMar>
              <w:top w:w="80" w:type="dxa"/>
              <w:start w:w="120" w:type="dxa"/>
              <w:bottom w:w="80" w:type="dxa"/>
              <w:end w:w="120" w:type="dxa"/>
            </w:tcMar>
          </w:tcPr>
          <w:p>
            <w:r>
              <w:rPr>
                <w:sz w:val="18"/>
              </w:rPr>
              <w:t>Rolling realized-volatility estimate observed by the PPO policy.</w:t>
            </w:r>
          </w:p>
        </w:tc>
      </w:tr>
      <w:tr>
        <w:tc>
          <w:tcPr>
            <w:tcW w:type="dxa" w:w="1600"/>
            <w:vAlign w:val="center"/>
            <w:tcMar>
              <w:top w:w="80" w:type="dxa"/>
              <w:start w:w="120" w:type="dxa"/>
              <w:bottom w:w="80" w:type="dxa"/>
              <w:end w:w="120" w:type="dxa"/>
            </w:tcMar>
          </w:tcPr>
          <w:p>
            <w:r>
              <w:rPr>
                <w:sz w:val="18"/>
              </w:rPr>
              <w:t>R_t</w:t>
            </w:r>
          </w:p>
        </w:tc>
        <w:tc>
          <w:tcPr>
            <w:tcW w:type="dxa" w:w="7760"/>
            <w:vAlign w:val="center"/>
            <w:tcMar>
              <w:top w:w="80" w:type="dxa"/>
              <w:start w:w="120" w:type="dxa"/>
              <w:bottom w:w="80" w:type="dxa"/>
              <w:end w:w="120" w:type="dxa"/>
            </w:tcMar>
          </w:tcPr>
          <w:p>
            <w:r>
              <w:rPr>
                <w:sz w:val="18"/>
              </w:rPr>
              <w:t>Reward at time t.</w:t>
            </w:r>
          </w:p>
        </w:tc>
      </w:tr>
      <w:tr>
        <w:tc>
          <w:tcPr>
            <w:tcW w:type="dxa" w:w="1600"/>
            <w:vAlign w:val="center"/>
            <w:tcMar>
              <w:top w:w="80" w:type="dxa"/>
              <w:start w:w="120" w:type="dxa"/>
              <w:bottom w:w="80" w:type="dxa"/>
              <w:end w:w="120" w:type="dxa"/>
            </w:tcMar>
          </w:tcPr>
          <w:p>
            <w:r>
              <w:rPr>
                <w:sz w:val="18"/>
              </w:rPr>
              <w:t>h</w:t>
            </w:r>
          </w:p>
        </w:tc>
        <w:tc>
          <w:tcPr>
            <w:tcW w:type="dxa" w:w="7760"/>
            <w:vAlign w:val="center"/>
            <w:tcMar>
              <w:top w:w="80" w:type="dxa"/>
              <w:start w:w="120" w:type="dxa"/>
              <w:bottom w:w="80" w:type="dxa"/>
              <w:end w:w="120" w:type="dxa"/>
            </w:tcMar>
          </w:tcPr>
          <w:p>
            <w:r>
              <w:rPr>
                <w:sz w:val="18"/>
              </w:rPr>
              <w:t>Quoted half-spread in ticks.</w:t>
            </w:r>
          </w:p>
        </w:tc>
      </w:tr>
      <w:tr>
        <w:tc>
          <w:tcPr>
            <w:tcW w:type="dxa" w:w="1600"/>
            <w:vAlign w:val="center"/>
            <w:tcMar>
              <w:top w:w="80" w:type="dxa"/>
              <w:start w:w="120" w:type="dxa"/>
              <w:bottom w:w="80" w:type="dxa"/>
              <w:end w:w="120" w:type="dxa"/>
            </w:tcMar>
          </w:tcPr>
          <w:p>
            <w:r>
              <w:rPr>
                <w:sz w:val="18"/>
              </w:rPr>
              <w:t>m</w:t>
            </w:r>
          </w:p>
        </w:tc>
        <w:tc>
          <w:tcPr>
            <w:tcW w:type="dxa" w:w="7760"/>
            <w:vAlign w:val="center"/>
            <w:tcMar>
              <w:top w:w="80" w:type="dxa"/>
              <w:start w:w="120" w:type="dxa"/>
              <w:bottom w:w="80" w:type="dxa"/>
              <w:end w:w="120" w:type="dxa"/>
            </w:tcMar>
          </w:tcPr>
          <w:p>
            <w:r>
              <w:rPr>
                <w:sz w:val="18"/>
              </w:rPr>
              <w:t>Quote skew in ticks.</w:t>
            </w:r>
          </w:p>
        </w:tc>
      </w:tr>
      <w:tr>
        <w:tc>
          <w:tcPr>
            <w:tcW w:type="dxa" w:w="1600"/>
            <w:vAlign w:val="center"/>
            <w:tcMar>
              <w:top w:w="80" w:type="dxa"/>
              <w:start w:w="120" w:type="dxa"/>
              <w:bottom w:w="80" w:type="dxa"/>
              <w:end w:w="120" w:type="dxa"/>
            </w:tcMar>
          </w:tcPr>
          <w:p>
            <w:r>
              <w:rPr>
                <w:sz w:val="18"/>
              </w:rPr>
              <w:t>A, k</w:t>
            </w:r>
          </w:p>
        </w:tc>
        <w:tc>
          <w:tcPr>
            <w:tcW w:type="dxa" w:w="7760"/>
            <w:vAlign w:val="center"/>
            <w:tcMar>
              <w:top w:w="80" w:type="dxa"/>
              <w:start w:w="120" w:type="dxa"/>
              <w:bottom w:w="80" w:type="dxa"/>
              <w:end w:w="120" w:type="dxa"/>
            </w:tcMar>
          </w:tcPr>
          <w:p>
            <w:r>
              <w:rPr>
                <w:sz w:val="18"/>
              </w:rPr>
              <w:t>Poisson fill-intensity scale and decay parameters.</w:t>
            </w:r>
          </w:p>
        </w:tc>
      </w:tr>
      <w:tr>
        <w:tc>
          <w:tcPr>
            <w:tcW w:type="dxa" w:w="1600"/>
            <w:vAlign w:val="center"/>
            <w:tcMar>
              <w:top w:w="80" w:type="dxa"/>
              <w:start w:w="120" w:type="dxa"/>
              <w:bottom w:w="80" w:type="dxa"/>
              <w:end w:w="120" w:type="dxa"/>
            </w:tcMar>
          </w:tcPr>
          <w:p>
            <w:r>
              <w:rPr>
                <w:sz w:val="18"/>
              </w:rPr>
              <w:t>eta</w:t>
            </w:r>
          </w:p>
        </w:tc>
        <w:tc>
          <w:tcPr>
            <w:tcW w:type="dxa" w:w="7760"/>
            <w:vAlign w:val="center"/>
            <w:tcMar>
              <w:top w:w="80" w:type="dxa"/>
              <w:start w:w="120" w:type="dxa"/>
              <w:bottom w:w="80" w:type="dxa"/>
              <w:end w:w="120" w:type="dxa"/>
            </w:tcMar>
          </w:tcPr>
          <w:p>
            <w:r>
              <w:rPr>
                <w:sz w:val="18"/>
              </w:rPr>
              <w:t>Inventory penalty coefficient.</w:t>
            </w:r>
          </w:p>
        </w:tc>
      </w:tr>
      <w:tr>
        <w:tc>
          <w:tcPr>
            <w:tcW w:type="dxa" w:w="1600"/>
            <w:vAlign w:val="center"/>
            <w:tcMar>
              <w:top w:w="80" w:type="dxa"/>
              <w:start w:w="120" w:type="dxa"/>
              <w:bottom w:w="80" w:type="dxa"/>
              <w:end w:w="120" w:type="dxa"/>
            </w:tcMar>
          </w:tcPr>
          <w:p>
            <w:r>
              <w:rPr>
                <w:sz w:val="18"/>
              </w:rPr>
              <w:t>gamma</w:t>
            </w:r>
          </w:p>
        </w:tc>
        <w:tc>
          <w:tcPr>
            <w:tcW w:type="dxa" w:w="7760"/>
            <w:vAlign w:val="center"/>
            <w:tcMar>
              <w:top w:w="80" w:type="dxa"/>
              <w:start w:w="120" w:type="dxa"/>
              <w:bottom w:w="80" w:type="dxa"/>
              <w:end w:w="120" w:type="dxa"/>
            </w:tcMar>
          </w:tcPr>
          <w:p>
            <w:r>
              <w:rPr>
                <w:sz w:val="18"/>
              </w:rPr>
              <w:t>Avellaneda-Stoikov inventory-risk aversion parameter.</w:t>
            </w:r>
          </w:p>
        </w:tc>
      </w:tr>
      <w:tr>
        <w:tc>
          <w:tcPr>
            <w:tcW w:type="dxa" w:w="1600"/>
            <w:vAlign w:val="center"/>
            <w:tcMar>
              <w:top w:w="80" w:type="dxa"/>
              <w:start w:w="120" w:type="dxa"/>
              <w:bottom w:w="80" w:type="dxa"/>
              <w:end w:w="120" w:type="dxa"/>
            </w:tcMar>
          </w:tcPr>
          <w:p>
            <w:r>
              <w:rPr>
                <w:sz w:val="18"/>
              </w:rPr>
              <w:t>tau</w:t>
            </w:r>
          </w:p>
        </w:tc>
        <w:tc>
          <w:tcPr>
            <w:tcW w:type="dxa" w:w="7760"/>
            <w:vAlign w:val="center"/>
            <w:tcMar>
              <w:top w:w="80" w:type="dxa"/>
              <w:start w:w="120" w:type="dxa"/>
              <w:bottom w:w="80" w:type="dxa"/>
              <w:end w:w="120" w:type="dxa"/>
            </w:tcMar>
          </w:tcPr>
          <w:p>
            <w:r>
              <w:rPr>
                <w:sz w:val="18"/>
              </w:rPr>
              <w:t>Remaining horizon.</w:t>
            </w:r>
          </w:p>
        </w:tc>
      </w:tr>
      <w:tr>
        <w:tc>
          <w:tcPr>
            <w:tcW w:type="dxa" w:w="1600"/>
            <w:vAlign w:val="center"/>
            <w:tcMar>
              <w:top w:w="80" w:type="dxa"/>
              <w:start w:w="120" w:type="dxa"/>
              <w:bottom w:w="80" w:type="dxa"/>
              <w:end w:w="120" w:type="dxa"/>
            </w:tcMar>
          </w:tcPr>
          <w:p>
            <w:r>
              <w:rPr>
                <w:sz w:val="18"/>
              </w:rPr>
              <w:t>lambda(delta)</w:t>
            </w:r>
          </w:p>
        </w:tc>
        <w:tc>
          <w:tcPr>
            <w:tcW w:type="dxa" w:w="7760"/>
            <w:vAlign w:val="center"/>
            <w:tcMar>
              <w:top w:w="80" w:type="dxa"/>
              <w:start w:w="120" w:type="dxa"/>
              <w:bottom w:w="80" w:type="dxa"/>
              <w:end w:w="120" w:type="dxa"/>
            </w:tcMar>
          </w:tcPr>
          <w:p>
            <w:r>
              <w:rPr>
                <w:sz w:val="18"/>
              </w:rPr>
              <w:t>Poisson fill intensity at quote distance delta.</w:t>
            </w:r>
          </w:p>
        </w:tc>
      </w:tr>
      <w:tr>
        <w:tc>
          <w:tcPr>
            <w:tcW w:type="dxa" w:w="1600"/>
            <w:vAlign w:val="center"/>
            <w:tcMar>
              <w:top w:w="80" w:type="dxa"/>
              <w:start w:w="120" w:type="dxa"/>
              <w:bottom w:w="80" w:type="dxa"/>
              <w:end w:w="120" w:type="dxa"/>
            </w:tcMar>
          </w:tcPr>
          <w:p>
            <w:r>
              <w:rPr>
                <w:sz w:val="18"/>
              </w:rPr>
              <w:t>delta, delta_bid, delta_ask</w:t>
            </w:r>
          </w:p>
        </w:tc>
        <w:tc>
          <w:tcPr>
            <w:tcW w:type="dxa" w:w="7760"/>
            <w:vAlign w:val="center"/>
            <w:tcMar>
              <w:top w:w="80" w:type="dxa"/>
              <w:start w:w="120" w:type="dxa"/>
              <w:bottom w:w="80" w:type="dxa"/>
              <w:end w:w="120" w:type="dxa"/>
            </w:tcMar>
          </w:tcPr>
          <w:p>
            <w:r>
              <w:rPr>
                <w:sz w:val="18"/>
              </w:rPr>
              <w:t>Quote distance variables.</w:t>
            </w:r>
          </w:p>
        </w:tc>
      </w:tr>
      <w:tr>
        <w:tc>
          <w:tcPr>
            <w:tcW w:type="dxa" w:w="1600"/>
            <w:vAlign w:val="center"/>
            <w:tcMar>
              <w:top w:w="80" w:type="dxa"/>
              <w:start w:w="120" w:type="dxa"/>
              <w:bottom w:w="80" w:type="dxa"/>
              <w:end w:w="120" w:type="dxa"/>
            </w:tcMar>
          </w:tcPr>
          <w:p>
            <w:r>
              <w:rPr>
                <w:sz w:val="18"/>
              </w:rPr>
              <w:t>rho_t(theta)</w:t>
            </w:r>
          </w:p>
        </w:tc>
        <w:tc>
          <w:tcPr>
            <w:tcW w:type="dxa" w:w="7760"/>
            <w:vAlign w:val="center"/>
            <w:tcMar>
              <w:top w:w="80" w:type="dxa"/>
              <w:start w:w="120" w:type="dxa"/>
              <w:bottom w:w="80" w:type="dxa"/>
              <w:end w:w="120" w:type="dxa"/>
            </w:tcMar>
          </w:tcPr>
          <w:p>
            <w:r>
              <w:rPr>
                <w:sz w:val="18"/>
              </w:rPr>
              <w:t>PPO probability ratio.</w:t>
            </w:r>
          </w:p>
        </w:tc>
      </w:tr>
      <w:tr>
        <w:tc>
          <w:tcPr>
            <w:tcW w:type="dxa" w:w="1600"/>
            <w:vAlign w:val="center"/>
            <w:tcMar>
              <w:top w:w="80" w:type="dxa"/>
              <w:start w:w="120" w:type="dxa"/>
              <w:bottom w:w="80" w:type="dxa"/>
              <w:end w:w="120" w:type="dxa"/>
            </w:tcMar>
          </w:tcPr>
          <w:p>
            <w:r>
              <w:rPr>
                <w:sz w:val="18"/>
              </w:rPr>
              <w:t>A_hat_t</w:t>
            </w:r>
          </w:p>
        </w:tc>
        <w:tc>
          <w:tcPr>
            <w:tcW w:type="dxa" w:w="7760"/>
            <w:vAlign w:val="center"/>
            <w:tcMar>
              <w:top w:w="80" w:type="dxa"/>
              <w:start w:w="120" w:type="dxa"/>
              <w:bottom w:w="80" w:type="dxa"/>
              <w:end w:w="120" w:type="dxa"/>
            </w:tcMar>
          </w:tcPr>
          <w:p>
            <w:r>
              <w:rPr>
                <w:sz w:val="18"/>
              </w:rPr>
              <w:t>Advantage estimate.</w:t>
            </w:r>
          </w:p>
        </w:tc>
      </w:tr>
      <w:tr>
        <w:tc>
          <w:tcPr>
            <w:tcW w:type="dxa" w:w="1600"/>
            <w:vAlign w:val="center"/>
            <w:tcMar>
              <w:top w:w="80" w:type="dxa"/>
              <w:start w:w="120" w:type="dxa"/>
              <w:bottom w:w="80" w:type="dxa"/>
              <w:end w:w="120" w:type="dxa"/>
            </w:tcMar>
          </w:tcPr>
          <w:p>
            <w:r>
              <w:rPr>
                <w:sz w:val="18"/>
              </w:rPr>
              <w:t>epsilon_t</w:t>
            </w:r>
          </w:p>
        </w:tc>
        <w:tc>
          <w:tcPr>
            <w:tcW w:type="dxa" w:w="7760"/>
            <w:vAlign w:val="center"/>
            <w:tcMar>
              <w:top w:w="80" w:type="dxa"/>
              <w:start w:w="120" w:type="dxa"/>
              <w:bottom w:w="80" w:type="dxa"/>
              <w:end w:w="120" w:type="dxa"/>
            </w:tcMar>
          </w:tcPr>
          <w:p>
            <w:r>
              <w:rPr>
                <w:sz w:val="18"/>
              </w:rPr>
              <w:t>Standard-normal innovation in the mid-price process.</w:t>
            </w:r>
          </w:p>
        </w:tc>
      </w:tr>
      <w:tr>
        <w:tc>
          <w:tcPr>
            <w:tcW w:type="dxa" w:w="1600"/>
            <w:vAlign w:val="center"/>
            <w:tcMar>
              <w:top w:w="80" w:type="dxa"/>
              <w:start w:w="120" w:type="dxa"/>
              <w:bottom w:w="80" w:type="dxa"/>
              <w:end w:w="120" w:type="dxa"/>
            </w:tcMar>
          </w:tcPr>
          <w:p>
            <w:r>
              <w:rPr>
                <w:sz w:val="18"/>
              </w:rPr>
              <w:t>z_t</w:t>
            </w:r>
          </w:p>
        </w:tc>
        <w:tc>
          <w:tcPr>
            <w:tcW w:type="dxa" w:w="7760"/>
            <w:vAlign w:val="center"/>
            <w:tcMar>
              <w:top w:w="80" w:type="dxa"/>
              <w:start w:w="120" w:type="dxa"/>
              <w:bottom w:w="80" w:type="dxa"/>
              <w:end w:w="120" w:type="dxa"/>
            </w:tcMar>
          </w:tcPr>
          <w:p>
            <w:r>
              <w:rPr>
                <w:sz w:val="18"/>
              </w:rPr>
              <w:t>Latent volatility regime.</w:t>
            </w:r>
          </w:p>
        </w:tc>
      </w:tr>
      <w:tr>
        <w:tc>
          <w:tcPr>
            <w:tcW w:type="dxa" w:w="1600"/>
            <w:vAlign w:val="center"/>
            <w:tcMar>
              <w:top w:w="80" w:type="dxa"/>
              <w:start w:w="120" w:type="dxa"/>
              <w:bottom w:w="80" w:type="dxa"/>
              <w:end w:w="120" w:type="dxa"/>
            </w:tcMar>
          </w:tcPr>
          <w:p>
            <w:r>
              <w:rPr>
                <w:sz w:val="18"/>
              </w:rPr>
              <w:t>P_ij</w:t>
            </w:r>
          </w:p>
        </w:tc>
        <w:tc>
          <w:tcPr>
            <w:tcW w:type="dxa" w:w="7760"/>
            <w:vAlign w:val="center"/>
            <w:tcMar>
              <w:top w:w="80" w:type="dxa"/>
              <w:start w:w="120" w:type="dxa"/>
              <w:bottom w:w="80" w:type="dxa"/>
              <w:end w:w="120" w:type="dxa"/>
            </w:tcMar>
          </w:tcPr>
          <w:p>
            <w:r>
              <w:rPr>
                <w:sz w:val="18"/>
              </w:rPr>
              <w:t>Markov transition probability.</w:t>
            </w:r>
          </w:p>
        </w:tc>
      </w:tr>
    </w:tbl>
    <w:p/>
    <w:tbl>
      <w:tblPr>
        <w:tblStyle w:val="TableGrid"/>
        <w:tblW w:type="dxa" w:w="9360"/>
        <w:tblLook w:firstColumn="1" w:firstRow="1" w:lastColumn="0" w:lastRow="0" w:noHBand="0" w:noVBand="1" w:val="04A0"/>
        <w:tblInd w:w="120" w:type="dxa"/>
        <w:tblLayout w:type="fixed"/>
      </w:tblPr>
      <w:tblGrid>
        <w:gridCol w:w="1800"/>
        <w:gridCol w:w="7560"/>
      </w:tblGrid>
      <w:tr>
        <w:tc>
          <w:tcPr>
            <w:tcW w:type="dxa" w:w="1800"/>
            <w:shd w:fill="F2F4F7"/>
            <w:vAlign w:val="center"/>
            <w:tcMar>
              <w:top w:w="80" w:type="dxa"/>
              <w:start w:w="120" w:type="dxa"/>
              <w:bottom w:w="80" w:type="dxa"/>
              <w:end w:w="120" w:type="dxa"/>
            </w:tcMar>
          </w:tcPr>
          <w:p>
            <w:r>
              <w:rPr>
                <w:b/>
                <w:sz w:val="18"/>
              </w:rPr>
              <w:t>Abbreviation</w:t>
            </w:r>
          </w:p>
        </w:tc>
        <w:tc>
          <w:tcPr>
            <w:tcW w:type="dxa" w:w="7560"/>
            <w:shd w:fill="F2F4F7"/>
            <w:vAlign w:val="center"/>
            <w:tcMar>
              <w:top w:w="80" w:type="dxa"/>
              <w:start w:w="120" w:type="dxa"/>
              <w:bottom w:w="80" w:type="dxa"/>
              <w:end w:w="120" w:type="dxa"/>
            </w:tcMar>
          </w:tcPr>
          <w:p>
            <w:r>
              <w:rPr>
                <w:b/>
                <w:sz w:val="18"/>
              </w:rPr>
              <w:t>Meaning</w:t>
            </w:r>
          </w:p>
        </w:tc>
      </w:tr>
      <w:tr>
        <w:tc>
          <w:tcPr>
            <w:tcW w:type="dxa" w:w="1800"/>
            <w:vAlign w:val="center"/>
            <w:tcMar>
              <w:top w:w="80" w:type="dxa"/>
              <w:start w:w="120" w:type="dxa"/>
              <w:bottom w:w="80" w:type="dxa"/>
              <w:end w:w="120" w:type="dxa"/>
            </w:tcMar>
          </w:tcPr>
          <w:p>
            <w:r>
              <w:rPr>
                <w:sz w:val="18"/>
              </w:rPr>
              <w:t>ABM</w:t>
            </w:r>
          </w:p>
        </w:tc>
        <w:tc>
          <w:tcPr>
            <w:tcW w:type="dxa" w:w="7560"/>
            <w:vAlign w:val="center"/>
            <w:tcMar>
              <w:top w:w="80" w:type="dxa"/>
              <w:start w:w="120" w:type="dxa"/>
              <w:bottom w:w="80" w:type="dxa"/>
              <w:end w:w="120" w:type="dxa"/>
            </w:tcMar>
          </w:tcPr>
          <w:p>
            <w:r>
              <w:rPr>
                <w:sz w:val="18"/>
              </w:rPr>
              <w:t>Arithmetic Brownian motion.</w:t>
            </w:r>
          </w:p>
        </w:tc>
      </w:tr>
      <w:tr>
        <w:tc>
          <w:tcPr>
            <w:tcW w:type="dxa" w:w="1800"/>
            <w:vAlign w:val="center"/>
            <w:tcMar>
              <w:top w:w="80" w:type="dxa"/>
              <w:start w:w="120" w:type="dxa"/>
              <w:bottom w:w="80" w:type="dxa"/>
              <w:end w:w="120" w:type="dxa"/>
            </w:tcMar>
          </w:tcPr>
          <w:p>
            <w:r>
              <w:rPr>
                <w:sz w:val="18"/>
              </w:rPr>
              <w:t>AS</w:t>
            </w:r>
          </w:p>
        </w:tc>
        <w:tc>
          <w:tcPr>
            <w:tcW w:type="dxa" w:w="7560"/>
            <w:vAlign w:val="center"/>
            <w:tcMar>
              <w:top w:w="80" w:type="dxa"/>
              <w:start w:w="120" w:type="dxa"/>
              <w:bottom w:w="80" w:type="dxa"/>
              <w:end w:w="120" w:type="dxa"/>
            </w:tcMar>
          </w:tcPr>
          <w:p>
            <w:r>
              <w:rPr>
                <w:sz w:val="18"/>
              </w:rPr>
              <w:t>Avellaneda-Stoikov baseline.</w:t>
            </w:r>
          </w:p>
        </w:tc>
      </w:tr>
      <w:tr>
        <w:tc>
          <w:tcPr>
            <w:tcW w:type="dxa" w:w="1800"/>
            <w:vAlign w:val="center"/>
            <w:tcMar>
              <w:top w:w="80" w:type="dxa"/>
              <w:start w:w="120" w:type="dxa"/>
              <w:bottom w:w="80" w:type="dxa"/>
              <w:end w:w="120" w:type="dxa"/>
            </w:tcMar>
          </w:tcPr>
          <w:p>
            <w:r>
              <w:rPr>
                <w:sz w:val="18"/>
              </w:rPr>
              <w:t>HFMM</w:t>
            </w:r>
          </w:p>
        </w:tc>
        <w:tc>
          <w:tcPr>
            <w:tcW w:type="dxa" w:w="7560"/>
            <w:vAlign w:val="center"/>
            <w:tcMar>
              <w:top w:w="80" w:type="dxa"/>
              <w:start w:w="120" w:type="dxa"/>
              <w:bottom w:w="80" w:type="dxa"/>
              <w:end w:w="120" w:type="dxa"/>
            </w:tcMar>
          </w:tcPr>
          <w:p>
            <w:r>
              <w:rPr>
                <w:sz w:val="18"/>
              </w:rPr>
              <w:t>High-frequency market making.</w:t>
            </w:r>
          </w:p>
        </w:tc>
      </w:tr>
      <w:tr>
        <w:tc>
          <w:tcPr>
            <w:tcW w:type="dxa" w:w="1800"/>
            <w:vAlign w:val="center"/>
            <w:tcMar>
              <w:top w:w="80" w:type="dxa"/>
              <w:start w:w="120" w:type="dxa"/>
              <w:bottom w:w="80" w:type="dxa"/>
              <w:end w:w="120" w:type="dxa"/>
            </w:tcMar>
          </w:tcPr>
          <w:p>
            <w:r>
              <w:rPr>
                <w:sz w:val="18"/>
              </w:rPr>
              <w:t>OOS</w:t>
            </w:r>
          </w:p>
        </w:tc>
        <w:tc>
          <w:tcPr>
            <w:tcW w:type="dxa" w:w="7560"/>
            <w:vAlign w:val="center"/>
            <w:tcMar>
              <w:top w:w="80" w:type="dxa"/>
              <w:start w:w="120" w:type="dxa"/>
              <w:bottom w:w="80" w:type="dxa"/>
              <w:end w:w="120" w:type="dxa"/>
            </w:tcMar>
          </w:tcPr>
          <w:p>
            <w:r>
              <w:rPr>
                <w:sz w:val="18"/>
              </w:rPr>
              <w:t>Out-of-sample evaluation.</w:t>
            </w:r>
          </w:p>
        </w:tc>
      </w:tr>
      <w:tr>
        <w:tc>
          <w:tcPr>
            <w:tcW w:type="dxa" w:w="1800"/>
            <w:vAlign w:val="center"/>
            <w:tcMar>
              <w:top w:w="80" w:type="dxa"/>
              <w:start w:w="120" w:type="dxa"/>
              <w:bottom w:w="80" w:type="dxa"/>
              <w:end w:w="120" w:type="dxa"/>
            </w:tcMar>
          </w:tcPr>
          <w:p>
            <w:r>
              <w:rPr>
                <w:sz w:val="18"/>
              </w:rPr>
              <w:t>PPO</w:t>
            </w:r>
          </w:p>
        </w:tc>
        <w:tc>
          <w:tcPr>
            <w:tcW w:type="dxa" w:w="7560"/>
            <w:vAlign w:val="center"/>
            <w:tcMar>
              <w:top w:w="80" w:type="dxa"/>
              <w:start w:w="120" w:type="dxa"/>
              <w:bottom w:w="80" w:type="dxa"/>
              <w:end w:w="120" w:type="dxa"/>
            </w:tcMar>
          </w:tcPr>
          <w:p>
            <w:r>
              <w:rPr>
                <w:sz w:val="18"/>
              </w:rPr>
              <w:t>Proximal Policy Optimization.</w:t>
            </w:r>
          </w:p>
        </w:tc>
      </w:tr>
      <w:tr>
        <w:tc>
          <w:tcPr>
            <w:tcW w:type="dxa" w:w="1800"/>
            <w:vAlign w:val="center"/>
            <w:tcMar>
              <w:top w:w="80" w:type="dxa"/>
              <w:start w:w="120" w:type="dxa"/>
              <w:bottom w:w="80" w:type="dxa"/>
              <w:end w:w="120" w:type="dxa"/>
            </w:tcMar>
          </w:tcPr>
          <w:p>
            <w:r>
              <w:rPr>
                <w:sz w:val="18"/>
              </w:rPr>
              <w:t>RV</w:t>
            </w:r>
          </w:p>
        </w:tc>
        <w:tc>
          <w:tcPr>
            <w:tcW w:type="dxa" w:w="7560"/>
            <w:vAlign w:val="center"/>
            <w:tcMar>
              <w:top w:w="80" w:type="dxa"/>
              <w:start w:w="120" w:type="dxa"/>
              <w:bottom w:w="80" w:type="dxa"/>
              <w:end w:w="120" w:type="dxa"/>
            </w:tcMar>
          </w:tcPr>
          <w:p>
            <w:r>
              <w:rPr>
                <w:sz w:val="18"/>
              </w:rPr>
              <w:t>Realized volatility.</w:t>
            </w:r>
          </w:p>
        </w:tc>
      </w:tr>
      <w:tr>
        <w:tc>
          <w:tcPr>
            <w:tcW w:type="dxa" w:w="1800"/>
            <w:vAlign w:val="center"/>
            <w:tcMar>
              <w:top w:w="80" w:type="dxa"/>
              <w:start w:w="120" w:type="dxa"/>
              <w:bottom w:w="80" w:type="dxa"/>
              <w:end w:w="120" w:type="dxa"/>
            </w:tcMar>
          </w:tcPr>
          <w:p>
            <w:r>
              <w:rPr>
                <w:sz w:val="18"/>
              </w:rPr>
              <w:t>TOST</w:t>
            </w:r>
          </w:p>
        </w:tc>
        <w:tc>
          <w:tcPr>
            <w:tcW w:type="dxa" w:w="7560"/>
            <w:vAlign w:val="center"/>
            <w:tcMar>
              <w:top w:w="80" w:type="dxa"/>
              <w:start w:w="120" w:type="dxa"/>
              <w:bottom w:w="80" w:type="dxa"/>
              <w:end w:w="120" w:type="dxa"/>
            </w:tcMar>
          </w:tcPr>
          <w:p>
            <w:r>
              <w:rPr>
                <w:sz w:val="18"/>
              </w:rPr>
              <w:t>Two One-Sided Tests equivalence procedure.</w:t>
            </w:r>
          </w:p>
        </w:tc>
      </w:tr>
      <w:tr>
        <w:tc>
          <w:tcPr>
            <w:tcW w:type="dxa" w:w="1800"/>
            <w:vAlign w:val="center"/>
            <w:tcMar>
              <w:top w:w="80" w:type="dxa"/>
              <w:start w:w="120" w:type="dxa"/>
              <w:bottom w:w="80" w:type="dxa"/>
              <w:end w:w="120" w:type="dxa"/>
            </w:tcMar>
          </w:tcPr>
          <w:p>
            <w:r>
              <w:rPr>
                <w:sz w:val="18"/>
              </w:rPr>
              <w:t>WP</w:t>
            </w:r>
          </w:p>
        </w:tc>
        <w:tc>
          <w:tcPr>
            <w:tcW w:type="dxa" w:w="7560"/>
            <w:vAlign w:val="center"/>
            <w:tcMar>
              <w:top w:w="80" w:type="dxa"/>
              <w:start w:w="120" w:type="dxa"/>
              <w:bottom w:w="80" w:type="dxa"/>
              <w:end w:w="120" w:type="dxa"/>
            </w:tcMar>
          </w:tcPr>
          <w:p>
            <w:r>
              <w:rPr>
                <w:sz w:val="18"/>
              </w:rPr>
              <w:t>Work package.</w:t>
            </w:r>
          </w:p>
        </w:tc>
      </w:tr>
    </w:tbl>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r>
              <w:rPr>
                <w:b/>
                <w:sz w:val="18"/>
              </w:rPr>
              <w:t>Term</w:t>
            </w:r>
          </w:p>
        </w:tc>
        <w:tc>
          <w:tcPr>
            <w:tcW w:type="dxa" w:w="7160"/>
            <w:shd w:fill="F2F4F7"/>
            <w:vAlign w:val="center"/>
            <w:tcMar>
              <w:top w:w="80" w:type="dxa"/>
              <w:start w:w="120" w:type="dxa"/>
              <w:bottom w:w="80" w:type="dxa"/>
              <w:end w:w="120" w:type="dxa"/>
            </w:tcMar>
          </w:tcPr>
          <w:p>
            <w:r>
              <w:rPr>
                <w:b/>
                <w:sz w:val="18"/>
              </w:rPr>
              <w:t>Definition</w:t>
            </w:r>
          </w:p>
        </w:tc>
      </w:tr>
      <w:tr>
        <w:tc>
          <w:tcPr>
            <w:tcW w:type="dxa" w:w="2200"/>
            <w:vAlign w:val="center"/>
            <w:tcMar>
              <w:top w:w="80" w:type="dxa"/>
              <w:start w:w="120" w:type="dxa"/>
              <w:bottom w:w="80" w:type="dxa"/>
              <w:end w:w="120" w:type="dxa"/>
            </w:tcMar>
          </w:tcPr>
          <w:p>
            <w:r>
              <w:rPr>
                <w:sz w:val="18"/>
              </w:rPr>
              <w:t>Regime-aware PPO</w:t>
            </w:r>
          </w:p>
        </w:tc>
        <w:tc>
          <w:tcPr>
            <w:tcW w:type="dxa" w:w="7160"/>
            <w:vAlign w:val="center"/>
            <w:tcMar>
              <w:top w:w="80" w:type="dxa"/>
              <w:start w:w="120" w:type="dxa"/>
              <w:bottom w:w="80" w:type="dxa"/>
              <w:end w:w="120" w:type="dxa"/>
            </w:tcMar>
          </w:tcPr>
          <w:p>
            <w:r>
              <w:rPr>
                <w:sz w:val="18"/>
              </w:rPr>
              <w:t>PPO policy variant that receives a categorical regime one-hot channel.</w:t>
            </w:r>
          </w:p>
        </w:tc>
      </w:tr>
      <w:tr>
        <w:tc>
          <w:tcPr>
            <w:tcW w:type="dxa" w:w="2200"/>
            <w:vAlign w:val="center"/>
            <w:tcMar>
              <w:top w:w="80" w:type="dxa"/>
              <w:start w:w="120" w:type="dxa"/>
              <w:bottom w:w="80" w:type="dxa"/>
              <w:end w:w="120" w:type="dxa"/>
            </w:tcMar>
          </w:tcPr>
          <w:p>
            <w:r>
              <w:rPr>
                <w:sz w:val="18"/>
              </w:rPr>
              <w:t>Regime-blind PPO</w:t>
            </w:r>
          </w:p>
        </w:tc>
        <w:tc>
          <w:tcPr>
            <w:tcW w:type="dxa" w:w="7160"/>
            <w:vAlign w:val="center"/>
            <w:tcMar>
              <w:top w:w="80" w:type="dxa"/>
              <w:start w:w="120" w:type="dxa"/>
              <w:bottom w:w="80" w:type="dxa"/>
              <w:end w:w="120" w:type="dxa"/>
            </w:tcMar>
          </w:tcPr>
          <w:p>
            <w:r>
              <w:rPr>
                <w:sz w:val="18"/>
              </w:rPr>
              <w:t>PPO policy variant that omits the regime one-hot but still observes sigma_hat.</w:t>
            </w:r>
          </w:p>
        </w:tc>
      </w:tr>
      <w:tr>
        <w:tc>
          <w:tcPr>
            <w:tcW w:type="dxa" w:w="2200"/>
            <w:vAlign w:val="center"/>
            <w:tcMar>
              <w:top w:w="80" w:type="dxa"/>
              <w:start w:w="120" w:type="dxa"/>
              <w:bottom w:w="80" w:type="dxa"/>
              <w:end w:w="120" w:type="dxa"/>
            </w:tcMar>
          </w:tcPr>
          <w:p>
            <w:r>
              <w:rPr>
                <w:sz w:val="18"/>
              </w:rPr>
              <w:t>sigma_only</w:t>
            </w:r>
          </w:p>
        </w:tc>
        <w:tc>
          <w:tcPr>
            <w:tcW w:type="dxa" w:w="7160"/>
            <w:vAlign w:val="center"/>
            <w:tcMar>
              <w:top w:w="80" w:type="dxa"/>
              <w:start w:w="120" w:type="dxa"/>
              <w:bottom w:w="80" w:type="dxa"/>
              <w:end w:w="120" w:type="dxa"/>
            </w:tcMar>
          </w:tcPr>
          <w:p>
            <w:r>
              <w:rPr>
                <w:sz w:val="18"/>
              </w:rPr>
              <w:t>Ablation variant using the continuous volatility signal without categorical regime labels.</w:t>
            </w:r>
          </w:p>
        </w:tc>
      </w:tr>
      <w:tr>
        <w:tc>
          <w:tcPr>
            <w:tcW w:type="dxa" w:w="2200"/>
            <w:vAlign w:val="center"/>
            <w:tcMar>
              <w:top w:w="80" w:type="dxa"/>
              <w:start w:w="120" w:type="dxa"/>
              <w:bottom w:w="80" w:type="dxa"/>
              <w:end w:w="120" w:type="dxa"/>
            </w:tcMar>
          </w:tcPr>
          <w:p>
            <w:r>
              <w:rPr>
                <w:sz w:val="18"/>
              </w:rPr>
              <w:t>combined</w:t>
            </w:r>
          </w:p>
        </w:tc>
        <w:tc>
          <w:tcPr>
            <w:tcW w:type="dxa" w:w="7160"/>
            <w:vAlign w:val="center"/>
            <w:tcMar>
              <w:top w:w="80" w:type="dxa"/>
              <w:start w:w="120" w:type="dxa"/>
              <w:bottom w:w="80" w:type="dxa"/>
              <w:end w:w="120" w:type="dxa"/>
            </w:tcMar>
          </w:tcPr>
          <w:p>
            <w:r>
              <w:rPr>
                <w:sz w:val="18"/>
              </w:rPr>
              <w:t>Ablation variant using sigma_hat and estimated categorical regime labels.</w:t>
            </w:r>
          </w:p>
        </w:tc>
      </w:tr>
      <w:tr>
        <w:tc>
          <w:tcPr>
            <w:tcW w:type="dxa" w:w="2200"/>
            <w:vAlign w:val="center"/>
            <w:tcMar>
              <w:top w:w="80" w:type="dxa"/>
              <w:start w:w="120" w:type="dxa"/>
              <w:bottom w:w="80" w:type="dxa"/>
              <w:end w:w="120" w:type="dxa"/>
            </w:tcMar>
          </w:tcPr>
          <w:p>
            <w:r>
              <w:rPr>
                <w:sz w:val="18"/>
              </w:rPr>
              <w:t>oracle_full</w:t>
            </w:r>
          </w:p>
        </w:tc>
        <w:tc>
          <w:tcPr>
            <w:tcW w:type="dxa" w:w="7160"/>
            <w:vAlign w:val="center"/>
            <w:tcMar>
              <w:top w:w="80" w:type="dxa"/>
              <w:start w:w="120" w:type="dxa"/>
              <w:bottom w:w="80" w:type="dxa"/>
              <w:end w:w="120" w:type="dxa"/>
            </w:tcMar>
          </w:tcPr>
          <w:p>
            <w:r>
              <w:rPr>
                <w:sz w:val="18"/>
              </w:rPr>
              <w:t>Ablation variant using sigma_hat and the true regime label.</w:t>
            </w:r>
          </w:p>
        </w:tc>
      </w:tr>
    </w:tbl>
    <w:p/>
    <w:p/>
    <w:p>
      <w:pPr>
        <w:pStyle w:val="Heading1"/>
      </w:pPr>
      <w:r>
        <w:t>1 Introduction</w:t>
      </w:r>
    </w:p>
    <w:p>
      <w:pPr>
        <w:pStyle w:val="Heading2"/>
      </w:pPr>
      <w:r>
        <w:t>1.1 Problem Statement and Motivation</w:t>
      </w:r>
    </w:p>
    <w:p>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pPr>
        <w:pStyle w:val="Heading2"/>
      </w:pPr>
      <w:r>
        <w:t>1.2 Research Objective</w:t>
      </w:r>
    </w:p>
    <w:p>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pPr>
        <w:pStyle w:val="Heading2"/>
      </w:pPr>
      <w:r>
        <w:t>1.3 Background and Related Work</w:t>
      </w:r>
    </w:p>
    <w:p>
      <w:r>
        <w:t>Classical market-making models provide the inventory-risk foundation for this thesis. A market maker earns spread income by posting bid and ask quotes, but execution imbalance creates inventory exposure whose value changes with the mid-price. The core control problem is therefore not raw spread capture alone; it is the tradeoff between execution probability, volatility risk, and inventory control.</w:t>
      </w:r>
    </w:p>
    <w:p>
      <w:r>
        <w:t>Avellaneda and Stoikov (2008) give the canonical analytical reference point: quotes are adjusted through a reservation price and spread term that depend on inventory, risk aversion, volatility, horizon, and order-arrival intensity. Gueant, Lehalle and Fernandez-Tapia (2013) extend this inventory-control view with tractable market-making solutions. In this report, that literature motivates both the AS baseline and the squared-inventory penalty used in the PPO reward.</w:t>
      </w:r>
    </w:p>
    <w:p>
      <w:r>
        <w:t>Reinforcement-learning market-making studies replace closed-form quote rules with learned policies trained through simulated interaction. Spooner et al. (2018) show how RL can learn market-making behavior and why reward design is central. Spooner and Savani (2020) extend the discussion toward robustness under adversarially varied conditions. These studies motivate learned quoting policies, but the present thesis is narrower: PPO is used as a controlled testbed for a state-representation question.</w:t>
      </w:r>
    </w:p>
    <w:p>
      <w:r>
        <w:t>Deep reinforcement learning work with market signals is especially relevant. Gasperov and Kostanjcar (2021) study market making with signals through DRL, while Gasperov et al. (2021) summarize broader RL approaches to optimal market making. Gasperov and Kostanjcar (2022) use a richer Hawkes-process limit-order-book simulator. The thesis uses a simpler Poisson-fill simulator deliberately, because the goal is to isolate whether one added signal channel has incremental value.</w:t>
      </w:r>
    </w:p>
    <w:p>
      <w:r>
        <w:t>Volatility regimes and non-stationarity are economically meaningful in market making. A higher-volatility state can increase inventory risk and change the appropriate quote aggressiveness. The thesis therefore includes a three-state Markov volatility process and rolling realized-volatility detector. However, the presence of regimes does not automatically imply that a categorical regime label improves a learned policy.</w:t>
      </w:r>
    </w:p>
    <w:p>
      <w:r>
        <w:t>The key information-design issue is redundancy. The policy already observes sigma_hat, a continuous realized-volatility proxy. A low/medium/high label derived from related volatility information may help if it summarizes information not otherwise available, but it may add little if sigma_hat already carries the useful variation for quote placement.</w:t>
      </w:r>
    </w:p>
    <w:p>
      <w:r>
        <w:t>This defines the thesis gap. The report does not ask whether volatility matters generally. It asks whether an explicit categorical volatility-regime label adds incremental value once sigma_hat is already observed by the PPO policy in the controlled synthetic HFMM environment.</w:t>
      </w:r>
    </w:p>
    <w:p>
      <w:r>
        <w:t>Finally, the result requires careful null-result interpretation. Lakens (2017) and Lakens, Scheel and Isager (2018) motivate equivalence testing as a way to distinguish 'not statistically significant' from 'practically equivalent within a stated bound.' This is why the thesis reports both paired t-tests and TOST-style evidence where appropriate.</w:t>
      </w:r>
    </w:p>
    <w:p>
      <w:pPr>
        <w:pStyle w:val="Heading2"/>
      </w:pPr>
      <w:r>
        <w:t>1.4 Contributions</w:t>
      </w:r>
    </w:p>
    <w:p>
      <w:pPr>
        <w:pStyle w:val="ListNumber"/>
      </w:pPr>
      <w:r>
        <w:t>A controlled HFMM simulator with Poisson-arrival fills, fees, latency, and Markov volatility regimes.</w:t>
      </w:r>
    </w:p>
    <w:p>
      <w:pPr>
        <w:pStyle w:val="ListNumber"/>
      </w:pPr>
      <w:r>
        <w:t>A Gymnasium environment in which PPO controls quote half-spread and skew.</w:t>
      </w:r>
    </w:p>
    <w:p>
      <w:pPr>
        <w:pStyle w:val="ListNumber"/>
      </w:pPr>
      <w:r>
        <w:t>An OOS comparison of fixed-spread, Avellaneda-Stoikov, regime-aware PPO, and regime-blind PPO strategies.</w:t>
      </w:r>
    </w:p>
    <w:p>
      <w:pPr>
        <w:pStyle w:val="ListNumber"/>
      </w:pPr>
      <w:r>
        <w:t>A five-variant ablation separating continuous volatility information from estimated and oracle regime labels.</w:t>
      </w:r>
    </w:p>
    <w:p>
      <w:pPr>
        <w:pStyle w:val="ListNumber"/>
      </w:pPr>
      <w:r>
        <w:t>Detector, reward-shaping, misspecification, and signal-informativeness checks that bound the interpretation.</w:t>
      </w:r>
    </w:p>
    <w:p>
      <w:pPr>
        <w:pStyle w:val="Heading2"/>
      </w:pPr>
      <w:r>
        <w:t>1.5 Scope and Limitations</w:t>
      </w:r>
    </w:p>
    <w:p>
      <w:r>
        <w:t>The thesis is a controlled synthetic-market study. It does not claim live trading viability, real-order-book external validity, or a proven PPO representation mechanism. The result is conditional on the simulator, signal design, PPO hyperparameters, and degradation calibration tested here.</w:t>
      </w:r>
    </w:p>
    <w:p>
      <w:pPr>
        <w:pStyle w:val="Heading2"/>
      </w:pPr>
      <w:r>
        <w:t>1.6 Report Structure</w:t>
      </w:r>
    </w:p>
    <w:p>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pPr>
        <w:pStyle w:val="Heading1"/>
      </w:pPr>
      <w:r>
        <w:t>2 Mathematical Formulation</w:t>
      </w:r>
    </w:p>
    <w:p>
      <w:pPr>
        <w:pStyle w:val="Heading2"/>
      </w:pPr>
      <w:r>
        <w:t>2.1 Synthetic Mid-Price Process</w:t>
      </w:r>
    </w:p>
    <w:p>
      <w:pPr>
        <w:jc w:val="center"/>
      </w:pPr>
      <w:r>
        <w:rPr>
          <w:rFonts w:ascii="Cambria Math" w:hAnsi="Cambria Math" w:eastAsia="Cambria Math"/>
          <w:b/>
          <w:sz w:val="22"/>
        </w:rPr>
        <w:t>(1)  S_{t+1} = S_t + sigma_t sqrt(dt) epsilon_t,   epsilon_t ~ N(0, 1)</w:t>
      </w:r>
    </w:p>
    <w:p>
      <w:r>
        <w:t>Here S_t is the mid-price, sigma_t is the step volatility in ticks or price units according to the simulator configuration, dt is the time step, and epsilon_t is an independent standard-normal shock.</w:t>
      </w:r>
    </w:p>
    <w:p>
      <w:pPr>
        <w:pStyle w:val="Heading2"/>
      </w:pPr>
      <w:r>
        <w:t>2.2 Markov Volatility-Regime Process</w:t>
      </w:r>
    </w:p>
    <w:p>
      <w:pPr>
        <w:jc w:val="center"/>
      </w:pPr>
      <w:r>
        <w:rPr>
          <w:rFonts w:ascii="Cambria Math" w:hAnsi="Cambria Math" w:eastAsia="Cambria Math"/>
          <w:b/>
          <w:sz w:val="22"/>
        </w:rPr>
        <w:t>(2)  P(z_{t+1}=j | z_t=i) = P_ij,   z_t in {L, M, H}</w:t>
      </w:r>
    </w:p>
    <w:p>
      <w:r>
        <w:t>Here z_t is the latent volatility regime at step t, L/M/H denote low, medium, and high volatility, and P_ij is the sticky transition probability from regime i to regime j.</w:t>
      </w:r>
    </w:p>
    <w:p>
      <w:r>
        <w:t>The regime controls the volatility multiplier applied to the base sigma parameter. The canonical full experiments use sigma multipliers [0.6, 1.0, 1.8] for L, M, and H.</w:t>
      </w:r>
    </w:p>
    <w:p>
      <w:pPr>
        <w:pStyle w:val="Heading2"/>
      </w:pPr>
      <w:r>
        <w:t>2.3 Realized Volatility Signal and Regime Detection</w:t>
      </w:r>
    </w:p>
    <w:p>
      <w:pPr>
        <w:jc w:val="center"/>
      </w:pPr>
      <w:r>
        <w:rPr>
          <w:rFonts w:ascii="Cambria Math" w:hAnsi="Cambria Math" w:eastAsia="Cambria Math"/>
          <w:b/>
          <w:sz w:val="22"/>
        </w:rPr>
        <w:t>(3)  sigma_hat_t = sqrt((1 / w) sum_{i=t-w+1}^{t} (Delta S_i)^2)</w:t>
      </w:r>
    </w:p>
    <w:p>
      <w:r>
        <w:t>Here sigma_hat_t is the rolling realized-volatility signal, w is the rolling window length, and Delta S_i is the mid-price increment over step i.</w:t>
      </w:r>
    </w:p>
    <w:p>
      <w:r>
        <w:t>Estimated regime labels are assigned by thresholding sigma_hat after a warmup period. The main WP4/WP5/WP6 pipelines use the causal rv_baseline detector. The rv_dwell detector is retained only as an auxiliary/offline robustness comparison, while the HMM detector is an additional robustness variant.</w:t>
      </w:r>
    </w:p>
    <w:p>
      <w:pPr>
        <w:pStyle w:val="Heading2"/>
      </w:pPr>
      <w:r>
        <w:t>2.4 Limit-Order Fill Model</w:t>
      </w:r>
    </w:p>
    <w:p>
      <w:pPr>
        <w:jc w:val="center"/>
      </w:pPr>
      <w:r>
        <w:rPr>
          <w:rFonts w:ascii="Cambria Math" w:hAnsi="Cambria Math" w:eastAsia="Cambria Math"/>
          <w:b/>
          <w:sz w:val="22"/>
        </w:rPr>
        <w:t>(4)  lambda(delta) = A exp(-k delta)</w:t>
      </w:r>
    </w:p>
    <w:p>
      <w:r>
        <w:t>Here lambda(delta) is the fill intensity at quote distance delta, A is the baseline arrival scale, and k controls the exponential decay as quotes move farther from the mid-price.</w:t>
      </w:r>
    </w:p>
    <w:p>
      <w:pPr>
        <w:jc w:val="center"/>
      </w:pPr>
      <w:r>
        <w:rPr>
          <w:rFonts w:ascii="Cambria Math" w:hAnsi="Cambria Math" w:eastAsia="Cambria Math"/>
          <w:b/>
          <w:sz w:val="22"/>
        </w:rPr>
        <w:t>(5)  P(fill | delta) = 1 - exp(-lambda(delta) dt)</w:t>
      </w:r>
    </w:p>
    <w:p>
      <w:r>
        <w:t>Here P(fill | delta) is the per-step fill probability and dt is the simulator step length.</w:t>
      </w:r>
    </w:p>
    <w:p>
      <w:pPr>
        <w:pStyle w:val="Heading2"/>
      </w:pPr>
      <w:r>
        <w:t>2.5 Quote Parameterization</w:t>
      </w:r>
    </w:p>
    <w:p>
      <w:pPr>
        <w:jc w:val="center"/>
      </w:pPr>
      <w:r>
        <w:rPr>
          <w:rFonts w:ascii="Cambria Math" w:hAnsi="Cambria Math" w:eastAsia="Cambria Math"/>
          <w:b/>
          <w:sz w:val="22"/>
        </w:rPr>
        <w:t>(6)  h = h_idx + 1,   m = m_idx - 2</w:t>
      </w:r>
    </w:p>
    <w:p>
      <w:r>
        <w:t>Here h_idx and m_idx are the two discrete PPO action components, h is the half-spread in ticks, and m is the quote skew in ticks.</w:t>
      </w:r>
    </w:p>
    <w:p>
      <w:pPr>
        <w:jc w:val="center"/>
      </w:pPr>
      <w:r>
        <w:rPr>
          <w:rFonts w:ascii="Cambria Math" w:hAnsi="Cambria Math" w:eastAsia="Cambria Math"/>
          <w:b/>
          <w:sz w:val="22"/>
        </w:rPr>
        <w:t>(7)  delta_bid = max(1, h + m),   delta_ask = max(1, h - m)</w:t>
      </w:r>
    </w:p>
    <w:p>
      <w:r>
        <w:t>Here delta_bid and delta_ask are the bid and ask quote distances in ticks. The max operator enforces a minimum quote distance of one tick.</w:t>
      </w:r>
    </w:p>
    <w:p>
      <w:pPr>
        <w:pStyle w:val="Heading2"/>
      </w:pPr>
      <w:r>
        <w:t>2.6 Inventory, Cash, Equity, and Reward</w:t>
      </w:r>
    </w:p>
    <w:p>
      <w:pPr>
        <w:jc w:val="center"/>
      </w:pPr>
      <w:r>
        <w:rPr>
          <w:rFonts w:ascii="Cambria Math" w:hAnsi="Cambria Math" w:eastAsia="Cambria Math"/>
          <w:b/>
          <w:sz w:val="22"/>
        </w:rPr>
        <w:t>(8)  q_{t+1} = q_t + F_t^{bid} - F_t^{ask}</w:t>
      </w:r>
    </w:p>
    <w:p>
      <w:r>
        <w:t>Here q_t is inventory, F_t^{bid} is the bid-side fill indicator or count, and F_t^{ask} is the ask-side fill indicator or count.</w:t>
      </w:r>
    </w:p>
    <w:p>
      <w:pPr>
        <w:jc w:val="center"/>
      </w:pPr>
      <w:r>
        <w:rPr>
          <w:rFonts w:ascii="Cambria Math" w:hAnsi="Cambria Math" w:eastAsia="Cambria Math"/>
          <w:b/>
          <w:sz w:val="22"/>
        </w:rPr>
        <w:t>(9)  X_{t+1} = X_t - F_t^{bid} P_t^{bid} + F_t^{ask} P_t^{ask} - fees_t</w:t>
      </w:r>
    </w:p>
    <w:p>
      <w:r>
        <w:t>Here X_t is cash, P_t^{bid} and P_t^{ask} are the executed bid and ask prices, and fees_t denotes transaction costs.</w:t>
      </w:r>
    </w:p>
    <w:p>
      <w:pPr>
        <w:jc w:val="center"/>
      </w:pPr>
      <w:r>
        <w:rPr>
          <w:rFonts w:ascii="Cambria Math" w:hAnsi="Cambria Math" w:eastAsia="Cambria Math"/>
          <w:b/>
          <w:sz w:val="22"/>
        </w:rPr>
        <w:t>(10)  W_t = X_t + q_t S_t</w:t>
      </w:r>
    </w:p>
    <w:p>
      <w:r>
        <w:t>Here W_t is mark-to-market wealth or equity, X_t is cash, q_t is inventory, and S_t is the mid-price.</w:t>
      </w:r>
    </w:p>
    <w:p>
      <w:pPr>
        <w:jc w:val="center"/>
      </w:pPr>
      <w:r>
        <w:rPr>
          <w:rFonts w:ascii="Cambria Math" w:hAnsi="Cambria Math" w:eastAsia="Cambria Math"/>
          <w:b/>
          <w:sz w:val="22"/>
        </w:rPr>
        <w:t>(11)  R_t = W_{t+1} - W_t - eta q_{t+1}^2</w:t>
      </w:r>
    </w:p>
    <w:p>
      <w:r>
        <w:t>Here R_t is the reward and eta is the inventory-penalty coefficient. Fees are included in the cash update and are not counted a second time in the reward.</w:t>
      </w:r>
    </w:p>
    <w:p>
      <w:pPr>
        <w:pStyle w:val="Heading2"/>
      </w:pPr>
      <w:r>
        <w:t>2.7 Avellaneda-Stoikov Baseline</w:t>
      </w:r>
    </w:p>
    <w:p>
      <w:pPr>
        <w:jc w:val="center"/>
      </w:pPr>
      <w:r>
        <w:rPr>
          <w:rFonts w:ascii="Cambria Math" w:hAnsi="Cambria Math" w:eastAsia="Cambria Math"/>
          <w:b/>
          <w:sz w:val="22"/>
        </w:rPr>
        <w:t>(12)  r_t = S_t - q_t gamma sigma^2 tau</w:t>
      </w:r>
    </w:p>
    <w:p>
      <w:r>
        <w:t>Here r_t is the reservation price, gamma is inventory-risk aversion, sigma is volatility, and tau is remaining horizon.</w:t>
      </w:r>
    </w:p>
    <w:p>
      <w:pPr>
        <w:jc w:val="center"/>
      </w:pPr>
      <w:r>
        <w:rPr>
          <w:rFonts w:ascii="Cambria Math" w:hAnsi="Cambria Math" w:eastAsia="Cambria Math"/>
          <w:b/>
          <w:sz w:val="22"/>
        </w:rPr>
        <w:t>(13)  delta_AS = 0.5 gamma sigma^2 tau + (1 / gamma) log(1 + gamma / k)</w:t>
      </w:r>
    </w:p>
    <w:p>
      <w:r>
        <w:t>Here delta_AS is the AS half-spread and k is the same fill-intensity decay parameter used in the execution model. The implemented deltas are clipped to configured minimum and maximum bounds.</w:t>
      </w:r>
    </w:p>
    <w:p>
      <w:pPr>
        <w:pStyle w:val="Heading2"/>
      </w:pPr>
      <w:r>
        <w:t>2.8 PPO Objective</w:t>
      </w:r>
    </w:p>
    <w:p>
      <w:pPr>
        <w:jc w:val="center"/>
      </w:pPr>
      <w:r>
        <w:rPr>
          <w:rFonts w:ascii="Cambria Math" w:hAnsi="Cambria Math" w:eastAsia="Cambria Math"/>
          <w:b/>
          <w:sz w:val="22"/>
        </w:rPr>
        <w:t>(14)  rho_t(theta) = pi_theta(a_t | s_t) / pi_theta_old(a_t | s_t)</w:t>
      </w:r>
    </w:p>
    <w:p>
      <w:r>
        <w:t>Here rho_t(theta) is the PPO probability ratio, pi_theta is the current policy, pi_theta_old is the behavior policy used to collect the rollout, a_t is the action, and s_t is the state.</w:t>
      </w:r>
    </w:p>
    <w:p>
      <w:pPr>
        <w:jc w:val="center"/>
      </w:pPr>
      <w:r>
        <w:rPr>
          <w:rFonts w:ascii="Cambria Math" w:hAnsi="Cambria Math" w:eastAsia="Cambria Math"/>
          <w:b/>
          <w:sz w:val="22"/>
        </w:rPr>
        <w:t>(15)  L_CLIP(theta) = E_t[min(rho_t(theta) A_hat_t, clip(rho_t(theta), 1-eps, 1+eps) A_hat_t)]</w:t>
      </w:r>
    </w:p>
    <w:p>
      <w:r>
        <w:t>Here theta denotes policy parameters, rho_t(theta) is the PPO probability ratio, A_hat_t is the advantage estimate, and eps is the clipping parameter. The report uses this only as a concise training-objective reference.</w:t>
      </w:r>
    </w:p>
    <w:p>
      <w:pPr>
        <w:pStyle w:val="Heading1"/>
      </w:pPr>
      <w:r>
        <w:t>3 Use-Case Scenario</w:t>
      </w:r>
    </w:p>
    <w:p>
      <w:pPr>
        <w:pStyle w:val="Heading2"/>
      </w:pPr>
      <w:r>
        <w:t>3.1 Synthetic HFMM Scenario</w:t>
      </w:r>
    </w:p>
    <w:p>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pPr>
        <w:pStyle w:val="Heading2"/>
      </w:pPr>
      <w:r>
        <w:t>3.2 Trading Agents and Strategy Variants</w:t>
      </w:r>
    </w:p>
    <w:tbl>
      <w:tblPr>
        <w:tblStyle w:val="TableGrid"/>
        <w:tblW w:type="dxa" w:w="9360"/>
        <w:tblLook w:firstColumn="1" w:firstRow="1" w:lastColumn="0" w:lastRow="0" w:noHBand="0" w:noVBand="1" w:val="04A0"/>
        <w:tblInd w:w="120" w:type="dxa"/>
        <w:tblLayout w:type="fixed"/>
      </w:tblPr>
      <w:tblGrid>
        <w:gridCol w:w="2100"/>
        <w:gridCol w:w="3300"/>
        <w:gridCol w:w="3960"/>
      </w:tblGrid>
      <w:tr>
        <w:tc>
          <w:tcPr>
            <w:tcW w:type="dxa" w:w="2100"/>
            <w:shd w:fill="F2F4F7"/>
            <w:vAlign w:val="center"/>
            <w:tcMar>
              <w:top w:w="80" w:type="dxa"/>
              <w:start w:w="120" w:type="dxa"/>
              <w:bottom w:w="80" w:type="dxa"/>
              <w:end w:w="120" w:type="dxa"/>
            </w:tcMar>
          </w:tcPr>
          <w:p>
            <w:r>
              <w:rPr>
                <w:b/>
                <w:sz w:val="18"/>
              </w:rPr>
              <w:t>Strategy or variant</w:t>
            </w:r>
          </w:p>
        </w:tc>
        <w:tc>
          <w:tcPr>
            <w:tcW w:type="dxa" w:w="3300"/>
            <w:shd w:fill="F2F4F7"/>
            <w:vAlign w:val="center"/>
            <w:tcMar>
              <w:top w:w="80" w:type="dxa"/>
              <w:start w:w="120" w:type="dxa"/>
              <w:bottom w:w="80" w:type="dxa"/>
              <w:end w:w="120" w:type="dxa"/>
            </w:tcMar>
          </w:tcPr>
          <w:p>
            <w:r>
              <w:rPr>
                <w:b/>
                <w:sz w:val="18"/>
              </w:rPr>
              <w:t>Observed information</w:t>
            </w:r>
          </w:p>
        </w:tc>
        <w:tc>
          <w:tcPr>
            <w:tcW w:type="dxa" w:w="3960"/>
            <w:shd w:fill="F2F4F7"/>
            <w:vAlign w:val="center"/>
            <w:tcMar>
              <w:top w:w="80" w:type="dxa"/>
              <w:start w:w="120" w:type="dxa"/>
              <w:bottom w:w="80" w:type="dxa"/>
              <w:end w:w="120" w:type="dxa"/>
            </w:tcMar>
          </w:tcPr>
          <w:p>
            <w:r>
              <w:rPr>
                <w:b/>
                <w:sz w:val="18"/>
              </w:rPr>
              <w:t>Purpose</w:t>
            </w:r>
          </w:p>
        </w:tc>
      </w:tr>
      <w:tr>
        <w:tc>
          <w:tcPr>
            <w:tcW w:type="dxa" w:w="2100"/>
            <w:vAlign w:val="center"/>
            <w:tcMar>
              <w:top w:w="80" w:type="dxa"/>
              <w:start w:w="120" w:type="dxa"/>
              <w:bottom w:w="80" w:type="dxa"/>
              <w:end w:w="120" w:type="dxa"/>
            </w:tcMar>
          </w:tcPr>
          <w:p>
            <w:r>
              <w:rPr>
                <w:sz w:val="18"/>
              </w:rPr>
              <w:t>Naive</w:t>
            </w:r>
          </w:p>
        </w:tc>
        <w:tc>
          <w:tcPr>
            <w:tcW w:type="dxa" w:w="3300"/>
            <w:vAlign w:val="center"/>
            <w:tcMar>
              <w:top w:w="80" w:type="dxa"/>
              <w:start w:w="120" w:type="dxa"/>
              <w:bottom w:w="80" w:type="dxa"/>
              <w:end w:w="120" w:type="dxa"/>
            </w:tcMar>
          </w:tcPr>
          <w:p>
            <w:r>
              <w:rPr>
                <w:sz w:val="18"/>
              </w:rPr>
              <w:t>No learned state dependence</w:t>
            </w:r>
          </w:p>
        </w:tc>
        <w:tc>
          <w:tcPr>
            <w:tcW w:type="dxa" w:w="3960"/>
            <w:vAlign w:val="center"/>
            <w:tcMar>
              <w:top w:w="80" w:type="dxa"/>
              <w:start w:w="120" w:type="dxa"/>
              <w:bottom w:w="80" w:type="dxa"/>
              <w:end w:w="120" w:type="dxa"/>
            </w:tcMar>
          </w:tcPr>
          <w:p>
            <w:r>
              <w:rPr>
                <w:sz w:val="18"/>
              </w:rPr>
              <w:t>Fixed-spread baseline.</w:t>
            </w:r>
          </w:p>
        </w:tc>
      </w:tr>
      <w:tr>
        <w:tc>
          <w:tcPr>
            <w:tcW w:type="dxa" w:w="2100"/>
            <w:vAlign w:val="center"/>
            <w:tcMar>
              <w:top w:w="80" w:type="dxa"/>
              <w:start w:w="120" w:type="dxa"/>
              <w:bottom w:w="80" w:type="dxa"/>
              <w:end w:w="120" w:type="dxa"/>
            </w:tcMar>
          </w:tcPr>
          <w:p>
            <w:r>
              <w:rPr>
                <w:sz w:val="18"/>
              </w:rPr>
              <w:t>Avellaneda-Stoikov</w:t>
            </w:r>
          </w:p>
        </w:tc>
        <w:tc>
          <w:tcPr>
            <w:tcW w:type="dxa" w:w="3300"/>
            <w:vAlign w:val="center"/>
            <w:tcMar>
              <w:top w:w="80" w:type="dxa"/>
              <w:start w:w="120" w:type="dxa"/>
              <w:bottom w:w="80" w:type="dxa"/>
              <w:end w:w="120" w:type="dxa"/>
            </w:tcMar>
          </w:tcPr>
          <w:p>
            <w:r>
              <w:rPr>
                <w:sz w:val="18"/>
              </w:rPr>
              <w:t>Inventory, volatility, horizon</w:t>
            </w:r>
          </w:p>
        </w:tc>
        <w:tc>
          <w:tcPr>
            <w:tcW w:type="dxa" w:w="3960"/>
            <w:vAlign w:val="center"/>
            <w:tcMar>
              <w:top w:w="80" w:type="dxa"/>
              <w:start w:w="120" w:type="dxa"/>
              <w:bottom w:w="80" w:type="dxa"/>
              <w:end w:w="120" w:type="dxa"/>
            </w:tcMar>
          </w:tcPr>
          <w:p>
            <w:r>
              <w:rPr>
                <w:sz w:val="18"/>
              </w:rPr>
              <w:t>Analytical inventory-risk baseline.</w:t>
            </w:r>
          </w:p>
        </w:tc>
      </w:tr>
      <w:tr>
        <w:tc>
          <w:tcPr>
            <w:tcW w:type="dxa" w:w="2100"/>
            <w:vAlign w:val="center"/>
            <w:tcMar>
              <w:top w:w="80" w:type="dxa"/>
              <w:start w:w="120" w:type="dxa"/>
              <w:bottom w:w="80" w:type="dxa"/>
              <w:end w:w="120" w:type="dxa"/>
            </w:tcMar>
          </w:tcPr>
          <w:p>
            <w:r>
              <w:rPr>
                <w:sz w:val="18"/>
              </w:rPr>
              <w:t>ppo_aware</w:t>
            </w:r>
          </w:p>
        </w:tc>
        <w:tc>
          <w:tcPr>
            <w:tcW w:type="dxa" w:w="3300"/>
            <w:vAlign w:val="center"/>
            <w:tcMar>
              <w:top w:w="80" w:type="dxa"/>
              <w:start w:w="120" w:type="dxa"/>
              <w:bottom w:w="80" w:type="dxa"/>
              <w:end w:w="120" w:type="dxa"/>
            </w:tcMar>
          </w:tcPr>
          <w:p>
            <w:r>
              <w:rPr>
                <w:sz w:val="18"/>
              </w:rPr>
              <w:t>sigma_hat and estimated regime one-hot</w:t>
            </w:r>
          </w:p>
        </w:tc>
        <w:tc>
          <w:tcPr>
            <w:tcW w:type="dxa" w:w="3960"/>
            <w:vAlign w:val="center"/>
            <w:tcMar>
              <w:top w:w="80" w:type="dxa"/>
              <w:start w:w="120" w:type="dxa"/>
              <w:bottom w:w="80" w:type="dxa"/>
              <w:end w:w="120" w:type="dxa"/>
            </w:tcMar>
          </w:tcPr>
          <w:p>
            <w:r>
              <w:rPr>
                <w:sz w:val="18"/>
              </w:rPr>
              <w:t>Original regime-aware PPO.</w:t>
            </w:r>
          </w:p>
        </w:tc>
      </w:tr>
      <w:tr>
        <w:tc>
          <w:tcPr>
            <w:tcW w:type="dxa" w:w="2100"/>
            <w:vAlign w:val="center"/>
            <w:tcMar>
              <w:top w:w="80" w:type="dxa"/>
              <w:start w:w="120" w:type="dxa"/>
              <w:bottom w:w="80" w:type="dxa"/>
              <w:end w:w="120" w:type="dxa"/>
            </w:tcMar>
          </w:tcPr>
          <w:p>
            <w:r>
              <w:rPr>
                <w:sz w:val="18"/>
              </w:rPr>
              <w:t>ppo_blind</w:t>
            </w:r>
          </w:p>
        </w:tc>
        <w:tc>
          <w:tcPr>
            <w:tcW w:type="dxa" w:w="3300"/>
            <w:vAlign w:val="center"/>
            <w:tcMar>
              <w:top w:w="80" w:type="dxa"/>
              <w:start w:w="120" w:type="dxa"/>
              <w:bottom w:w="80" w:type="dxa"/>
              <w:end w:w="120" w:type="dxa"/>
            </w:tcMar>
          </w:tcPr>
          <w:p>
            <w:r>
              <w:rPr>
                <w:sz w:val="18"/>
              </w:rPr>
              <w:t>sigma_hat without regime one-hot</w:t>
            </w:r>
          </w:p>
        </w:tc>
        <w:tc>
          <w:tcPr>
            <w:tcW w:type="dxa" w:w="3960"/>
            <w:vAlign w:val="center"/>
            <w:tcMar>
              <w:top w:w="80" w:type="dxa"/>
              <w:start w:w="120" w:type="dxa"/>
              <w:bottom w:w="80" w:type="dxa"/>
              <w:end w:w="120" w:type="dxa"/>
            </w:tcMar>
          </w:tcPr>
          <w:p>
            <w:r>
              <w:rPr>
                <w:sz w:val="18"/>
              </w:rPr>
              <w:t>Original regime-blind PPO.</w:t>
            </w:r>
          </w:p>
        </w:tc>
      </w:tr>
      <w:tr>
        <w:tc>
          <w:tcPr>
            <w:tcW w:type="dxa" w:w="2100"/>
            <w:vAlign w:val="center"/>
            <w:tcMar>
              <w:top w:w="80" w:type="dxa"/>
              <w:start w:w="120" w:type="dxa"/>
              <w:bottom w:w="80" w:type="dxa"/>
              <w:end w:w="120" w:type="dxa"/>
            </w:tcMar>
          </w:tcPr>
          <w:p>
            <w:r>
              <w:rPr>
                <w:sz w:val="18"/>
              </w:rPr>
              <w:t>sigma_only</w:t>
            </w:r>
          </w:p>
        </w:tc>
        <w:tc>
          <w:tcPr>
            <w:tcW w:type="dxa" w:w="3300"/>
            <w:vAlign w:val="center"/>
            <w:tcMar>
              <w:top w:w="80" w:type="dxa"/>
              <w:start w:w="120" w:type="dxa"/>
              <w:bottom w:w="80" w:type="dxa"/>
              <w:end w:w="120" w:type="dxa"/>
            </w:tcMar>
          </w:tcPr>
          <w:p>
            <w:r>
              <w:rPr>
                <w:sz w:val="18"/>
              </w:rPr>
              <w:t>Continuous sigma_hat only</w:t>
            </w:r>
          </w:p>
        </w:tc>
        <w:tc>
          <w:tcPr>
            <w:tcW w:type="dxa" w:w="3960"/>
            <w:vAlign w:val="center"/>
            <w:tcMar>
              <w:top w:w="80" w:type="dxa"/>
              <w:start w:w="120" w:type="dxa"/>
              <w:bottom w:w="80" w:type="dxa"/>
              <w:end w:w="120" w:type="dxa"/>
            </w:tcMar>
          </w:tcPr>
          <w:p>
            <w:r>
              <w:rPr>
                <w:sz w:val="18"/>
              </w:rPr>
              <w:t>Tests whether sigma_hat alone carries the signal.</w:t>
            </w:r>
          </w:p>
        </w:tc>
      </w:tr>
      <w:tr>
        <w:tc>
          <w:tcPr>
            <w:tcW w:type="dxa" w:w="2100"/>
            <w:vAlign w:val="center"/>
            <w:tcMar>
              <w:top w:w="80" w:type="dxa"/>
              <w:start w:w="120" w:type="dxa"/>
              <w:bottom w:w="80" w:type="dxa"/>
              <w:end w:w="120" w:type="dxa"/>
            </w:tcMar>
          </w:tcPr>
          <w:p>
            <w:r>
              <w:rPr>
                <w:sz w:val="18"/>
              </w:rPr>
              <w:t>combined</w:t>
            </w:r>
          </w:p>
        </w:tc>
        <w:tc>
          <w:tcPr>
            <w:tcW w:type="dxa" w:w="3300"/>
            <w:vAlign w:val="center"/>
            <w:tcMar>
              <w:top w:w="80" w:type="dxa"/>
              <w:start w:w="120" w:type="dxa"/>
              <w:bottom w:w="80" w:type="dxa"/>
              <w:end w:w="120" w:type="dxa"/>
            </w:tcMar>
          </w:tcPr>
          <w:p>
            <w:r>
              <w:rPr>
                <w:sz w:val="18"/>
              </w:rPr>
              <w:t>sigma_hat and estimated regime one-hot</w:t>
            </w:r>
          </w:p>
        </w:tc>
        <w:tc>
          <w:tcPr>
            <w:tcW w:type="dxa" w:w="3960"/>
            <w:vAlign w:val="center"/>
            <w:tcMar>
              <w:top w:w="80" w:type="dxa"/>
              <w:start w:w="120" w:type="dxa"/>
              <w:bottom w:w="80" w:type="dxa"/>
              <w:end w:w="120" w:type="dxa"/>
            </w:tcMar>
          </w:tcPr>
          <w:p>
            <w:r>
              <w:rPr>
                <w:sz w:val="18"/>
              </w:rPr>
              <w:t>Tests estimated categorical incremental value.</w:t>
            </w:r>
          </w:p>
        </w:tc>
      </w:tr>
      <w:tr>
        <w:tc>
          <w:tcPr>
            <w:tcW w:type="dxa" w:w="2100"/>
            <w:vAlign w:val="center"/>
            <w:tcMar>
              <w:top w:w="80" w:type="dxa"/>
              <w:start w:w="120" w:type="dxa"/>
              <w:bottom w:w="80" w:type="dxa"/>
              <w:end w:w="120" w:type="dxa"/>
            </w:tcMar>
          </w:tcPr>
          <w:p>
            <w:r>
              <w:rPr>
                <w:sz w:val="18"/>
              </w:rPr>
              <w:t>oracle_full</w:t>
            </w:r>
          </w:p>
        </w:tc>
        <w:tc>
          <w:tcPr>
            <w:tcW w:type="dxa" w:w="3300"/>
            <w:vAlign w:val="center"/>
            <w:tcMar>
              <w:top w:w="80" w:type="dxa"/>
              <w:start w:w="120" w:type="dxa"/>
              <w:bottom w:w="80" w:type="dxa"/>
              <w:end w:w="120" w:type="dxa"/>
            </w:tcMar>
          </w:tcPr>
          <w:p>
            <w:r>
              <w:rPr>
                <w:sz w:val="18"/>
              </w:rPr>
              <w:t>sigma_hat and true regime one-hot</w:t>
            </w:r>
          </w:p>
        </w:tc>
        <w:tc>
          <w:tcPr>
            <w:tcW w:type="dxa" w:w="3960"/>
            <w:vAlign w:val="center"/>
            <w:tcMar>
              <w:top w:w="80" w:type="dxa"/>
              <w:start w:w="120" w:type="dxa"/>
              <w:bottom w:w="80" w:type="dxa"/>
              <w:end w:w="120" w:type="dxa"/>
            </w:tcMar>
          </w:tcPr>
          <w:p>
            <w:r>
              <w:rPr>
                <w:sz w:val="18"/>
              </w:rPr>
              <w:t>Tests perfect-label incremental value.</w:t>
            </w:r>
          </w:p>
        </w:tc>
      </w:tr>
      <w:tr>
        <w:tc>
          <w:tcPr>
            <w:tcW w:type="dxa" w:w="2100"/>
            <w:vAlign w:val="center"/>
            <w:tcMar>
              <w:top w:w="80" w:type="dxa"/>
              <w:start w:w="120" w:type="dxa"/>
              <w:bottom w:w="80" w:type="dxa"/>
              <w:end w:w="120" w:type="dxa"/>
            </w:tcMar>
          </w:tcPr>
          <w:p>
            <w:r>
              <w:rPr>
                <w:sz w:val="18"/>
              </w:rPr>
              <w:t>regime_only / oracle_pure</w:t>
            </w:r>
          </w:p>
        </w:tc>
        <w:tc>
          <w:tcPr>
            <w:tcW w:type="dxa" w:w="3300"/>
            <w:vAlign w:val="center"/>
            <w:tcMar>
              <w:top w:w="80" w:type="dxa"/>
              <w:start w:w="120" w:type="dxa"/>
              <w:bottom w:w="80" w:type="dxa"/>
              <w:end w:w="120" w:type="dxa"/>
            </w:tcMar>
          </w:tcPr>
          <w:p>
            <w:r>
              <w:rPr>
                <w:sz w:val="18"/>
              </w:rPr>
              <w:t>Categorical labels without sigma_hat</w:t>
            </w:r>
          </w:p>
        </w:tc>
        <w:tc>
          <w:tcPr>
            <w:tcW w:type="dxa" w:w="3960"/>
            <w:vAlign w:val="center"/>
            <w:tcMar>
              <w:top w:w="80" w:type="dxa"/>
              <w:start w:w="120" w:type="dxa"/>
              <w:bottom w:w="80" w:type="dxa"/>
              <w:end w:w="120" w:type="dxa"/>
            </w:tcMar>
          </w:tcPr>
          <w:p>
            <w:r>
              <w:rPr>
                <w:sz w:val="18"/>
              </w:rPr>
              <w:t>Anchor label-only variants.</w:t>
            </w:r>
          </w:p>
        </w:tc>
      </w:tr>
    </w:tbl>
    <w:p/>
    <w:p>
      <w:pPr>
        <w:pStyle w:val="Heading2"/>
      </w:pPr>
      <w:r>
        <w:t>3.3 Information-Design Question</w:t>
      </w:r>
    </w:p>
    <w:p>
      <w:r>
        <w:t>In the tested controlled synthetic HFMM environment, explicit categorical volatility-regime labels do not provide robust incremental value once sigma_hat is already observed by the PPO policy. The results are consistent with signal redundancy.</w:t>
      </w:r>
    </w:p>
    <w:p>
      <w:pPr>
        <w:pStyle w:val="Heading1"/>
      </w:pPr>
      <w:r>
        <w:t>4 System Architecture</w:t>
      </w:r>
    </w:p>
    <w:p>
      <w:pPr>
        <w:pStyle w:val="Heading2"/>
      </w:pPr>
      <w:r>
        <w:t>4.1 Run Lifecycle and Reproducibility Layer</w:t>
      </w:r>
    </w:p>
    <w:p>
      <w:r>
        <w:t>`run.py` dispatches jobs from JSON configuration files, creates a timestamped run directory, snapshots the config, records git metadata, writes logs and metrics, and finalizes run status. Long WP6 jobs support resume validation against the saved config snapshot.</w:t>
      </w:r>
    </w:p>
    <w:p>
      <w:pPr>
        <w:pStyle w:val="Heading2"/>
      </w:pPr>
      <w:r>
        <w:t>4.2 Synthetic Market and Detector Layer</w:t>
      </w:r>
    </w:p>
    <w:p>
      <w:r>
        <w:t>`src/wp1/sim.py` implements the fill and inventory simulator. `src/wp2/synth_regime.py` generates synthetic regime paths, mid-prices, rolling realized volatility, and detector outputs.</w:t>
      </w:r>
    </w:p>
    <w:p>
      <w:pPr>
        <w:pStyle w:val="Heading2"/>
      </w:pPr>
      <w:r>
        <w:t>4.3 Gymnasium Environment Layer</w:t>
      </w:r>
    </w:p>
    <w:p>
      <w:r>
        <w:t>`src/wp3/env.py` wraps the simulator as a Gymnasium environment. The observation vector is [q_norm, sigma_hat, tau, regime_L, regime_M, regime_H]. Warmup, invalid, or disabled regime labels produce a zero one-hot vector rather than an artificial medium label.</w:t>
      </w:r>
    </w:p>
    <w:p>
      <w:pPr>
        <w:pStyle w:val="Heading2"/>
      </w:pPr>
      <w:r>
        <w:t>4.4 Strategy and Training Layer</w:t>
      </w:r>
    </w:p>
    <w:p>
      <w:r>
        <w:t>WP4 trains PPO policies; WP5 evaluates strategies and ablations; WP6 runs the signal-informativeness sweep. The fixed-spread and AS baselines provide non-learning comparators.</w:t>
      </w:r>
    </w:p>
    <w:p>
      <w:pPr>
        <w:pStyle w:val="Heading2"/>
      </w:pPr>
      <w:r>
        <w:t>4.5 Evaluation and Evidence Layer</w:t>
      </w:r>
    </w:p>
    <w:p>
      <w:r>
        <w:t>Evaluation writes CSV metrics, figures, and summaries. The thesis_31 adaptation embeds existing figures and quotes frozen numerical evidence; it does not regenerate evidence artifacts.</w:t>
      </w:r>
    </w:p>
    <w:p>
      <w:pPr>
        <w:pStyle w:val="Heading1"/>
      </w:pPr>
      <w:r>
        <w:t>5 Layered Experimental Model</w:t>
      </w:r>
    </w:p>
    <w:p>
      <w:pPr>
        <w:pStyle w:val="Heading2"/>
      </w:pPr>
      <w:r>
        <w:t>5.1 Layer 1: Market State Generation</w:t>
      </w:r>
    </w:p>
    <w:p>
      <w:r>
        <w:t>Generate Markov regimes and mid-price paths under controlled volatility multipliers.</w:t>
      </w:r>
    </w:p>
    <w:p>
      <w:pPr>
        <w:pStyle w:val="Heading2"/>
      </w:pPr>
      <w:r>
        <w:t>5.2 Layer 2: Signal Construction</w:t>
      </w:r>
    </w:p>
    <w:p>
      <w:r>
        <w:t>Construct sigma_hat from rolling realized volatility and derive estimated regime labels.</w:t>
      </w:r>
    </w:p>
    <w:p>
      <w:pPr>
        <w:pStyle w:val="Heading2"/>
      </w:pPr>
      <w:r>
        <w:t>5.3 Layer 3: Observation Encoding</w:t>
      </w:r>
    </w:p>
    <w:p>
      <w:r>
        <w:t>Encode inventory, volatility, time-to-horizon, and optional regime one-hot channels.</w:t>
      </w:r>
    </w:p>
    <w:p>
      <w:pPr>
        <w:pStyle w:val="Heading2"/>
      </w:pPr>
      <w:r>
        <w:t>5.4 Layer 4: Action and Execution</w:t>
      </w:r>
    </w:p>
    <w:p>
      <w:r>
        <w:t>Decode PPO actions into bid/ask quote distances and sample Poisson-arrival fills.</w:t>
      </w:r>
    </w:p>
    <w:p>
      <w:pPr>
        <w:pStyle w:val="Heading2"/>
      </w:pPr>
      <w:r>
        <w:t>5.5 Layer 5: Learning and Evaluation</w:t>
      </w:r>
    </w:p>
    <w:p>
      <w:r>
        <w:t>Train PPO on the chronological train segment and evaluate deterministic policies OOS.</w:t>
      </w:r>
    </w:p>
    <w:p>
      <w:pPr>
        <w:pStyle w:val="Heading1"/>
      </w:pPr>
      <w:r>
        <w:t>6 Algorithm Specification and Pseudocode</w:t>
      </w:r>
    </w:p>
    <w:p>
      <w:pPr>
        <w:pStyle w:val="Heading2"/>
      </w:pPr>
      <w:r>
        <w:t>6.1 Plain-Language Overview</w:t>
      </w:r>
    </w:p>
    <w:p>
      <w:r>
        <w:t>The experiment creates a synthetic market path, estimates volatility signals, trains policies on the first 70% of the path, and evaluates all strategies on the held-out 30%. Ablations modify which volatility channels the PPO policy can observe.</w:t>
      </w:r>
    </w:p>
    <w:p>
      <w:pPr>
        <w:pStyle w:val="Heading3"/>
      </w:pPr>
      <w:r>
        <w:t>6.2 Synthetic Market and Regime Generation</w:t>
      </w:r>
    </w:p>
    <w:p>
      <w:r>
        <w:rPr>
          <w:rFonts w:ascii="Consolas" w:hAnsi="Consolas" w:eastAsia="Consolas"/>
          <w:sz w:val="18"/>
        </w:rPr>
        <w:t>Input: seed, transition matrix P, base volatility, volatility multipliers, n_steps</w:t>
      </w:r>
    </w:p>
    <w:p>
      <w:r>
        <w:rPr>
          <w:rFonts w:ascii="Consolas" w:hAnsi="Consolas" w:eastAsia="Consolas"/>
          <w:sz w:val="18"/>
        </w:rPr>
        <w:t>Initialize z_0 and S_0</w:t>
      </w:r>
    </w:p>
    <w:p>
      <w:r>
        <w:rPr>
          <w:rFonts w:ascii="Consolas" w:hAnsi="Consolas" w:eastAsia="Consolas"/>
          <w:sz w:val="18"/>
        </w:rPr>
        <w:t>For t = 0 ... n_steps - 1:</w:t>
      </w:r>
    </w:p>
    <w:p>
      <w:r>
        <w:rPr>
          <w:rFonts w:ascii="Consolas" w:hAnsi="Consolas" w:eastAsia="Consolas"/>
          <w:sz w:val="18"/>
        </w:rPr>
        <w:t xml:space="preserve">    sample z_{t+1} from P[z_t]</w:t>
      </w:r>
    </w:p>
    <w:p>
      <w:r>
        <w:rPr>
          <w:rFonts w:ascii="Consolas" w:hAnsi="Consolas" w:eastAsia="Consolas"/>
          <w:sz w:val="18"/>
        </w:rPr>
        <w:t xml:space="preserve">    set sigma_t = base_sigma * multiplier[z_t]</w:t>
      </w:r>
    </w:p>
    <w:p>
      <w:r>
        <w:rPr>
          <w:rFonts w:ascii="Consolas" w:hAnsi="Consolas" w:eastAsia="Consolas"/>
          <w:sz w:val="18"/>
        </w:rPr>
        <w:t xml:space="preserve">    sample mid-price increment and update S_{t+1}</w:t>
      </w:r>
    </w:p>
    <w:p>
      <w:r>
        <w:rPr>
          <w:rFonts w:ascii="Consolas" w:hAnsi="Consolas" w:eastAsia="Consolas"/>
          <w:sz w:val="18"/>
        </w:rPr>
        <w:t>Compute rolling sigma_hat after warmup window</w:t>
      </w:r>
    </w:p>
    <w:p>
      <w:r>
        <w:rPr>
          <w:rFonts w:ascii="Consolas" w:hAnsi="Consolas" w:eastAsia="Consolas"/>
          <w:sz w:val="18"/>
        </w:rPr>
        <w:t>Calibrate thresholds on warmup data and assign regime_hat</w:t>
      </w:r>
    </w:p>
    <w:p>
      <w:r>
        <w:rPr>
          <w:rFonts w:ascii="Consolas" w:hAnsi="Consolas" w:eastAsia="Consolas"/>
          <w:sz w:val="18"/>
        </w:rPr>
        <w:t>Output: exogenous table with mid, sigma_hat, regime_true, regime_hat</w:t>
      </w:r>
    </w:p>
    <w:p/>
    <w:p>
      <w:pPr>
        <w:pStyle w:val="Heading3"/>
      </w:pPr>
      <w:r>
        <w:t>6.3 Market-Making Environment Step</w:t>
      </w:r>
    </w:p>
    <w:p>
      <w:r>
        <w:rPr>
          <w:rFonts w:ascii="Consolas" w:hAnsi="Consolas" w:eastAsia="Consolas"/>
          <w:sz w:val="18"/>
        </w:rPr>
        <w:t>Input: action (h_idx, m_idx), current simulator state, exogenous row</w:t>
      </w:r>
    </w:p>
    <w:p>
      <w:r>
        <w:rPr>
          <w:rFonts w:ascii="Consolas" w:hAnsi="Consolas" w:eastAsia="Consolas"/>
          <w:sz w:val="18"/>
        </w:rPr>
        <w:t>Decode h = h_idx + 1 and m = m_idx - 2</w:t>
      </w:r>
    </w:p>
    <w:p>
      <w:r>
        <w:rPr>
          <w:rFonts w:ascii="Consolas" w:hAnsi="Consolas" w:eastAsia="Consolas"/>
          <w:sz w:val="18"/>
        </w:rPr>
        <w:t>Set delta_bid = max(1, h + m), delta_ask = max(1, h - m)</w:t>
      </w:r>
    </w:p>
    <w:p>
      <w:r>
        <w:rPr>
          <w:rFonts w:ascii="Consolas" w:hAnsi="Consolas" w:eastAsia="Consolas"/>
          <w:sz w:val="18"/>
        </w:rPr>
        <w:t>Compute fill intensities and per-step fill probabilities</w:t>
      </w:r>
    </w:p>
    <w:p>
      <w:r>
        <w:rPr>
          <w:rFonts w:ascii="Consolas" w:hAnsi="Consolas" w:eastAsia="Consolas"/>
          <w:sz w:val="18"/>
        </w:rPr>
        <w:t>Sample bid and ask fills</w:t>
      </w:r>
    </w:p>
    <w:p>
      <w:r>
        <w:rPr>
          <w:rFonts w:ascii="Consolas" w:hAnsi="Consolas" w:eastAsia="Consolas"/>
          <w:sz w:val="18"/>
        </w:rPr>
        <w:t>Update inventory and cash, including fees</w:t>
      </w:r>
    </w:p>
    <w:p>
      <w:r>
        <w:rPr>
          <w:rFonts w:ascii="Consolas" w:hAnsi="Consolas" w:eastAsia="Consolas"/>
          <w:sz w:val="18"/>
        </w:rPr>
        <w:t>Advance mid-price and compute W_{t+1}</w:t>
      </w:r>
    </w:p>
    <w:p>
      <w:r>
        <w:rPr>
          <w:rFonts w:ascii="Consolas" w:hAnsi="Consolas" w:eastAsia="Consolas"/>
          <w:sz w:val="18"/>
        </w:rPr>
        <w:t>Return observation, reward = delta_equity - eta * inventory^2, done flag, info</w:t>
      </w:r>
    </w:p>
    <w:p/>
    <w:p>
      <w:pPr>
        <w:pStyle w:val="Heading3"/>
      </w:pPr>
      <w:r>
        <w:t>6.4 PPO Training and OOS Evaluation Protocol</w:t>
      </w:r>
    </w:p>
    <w:p>
      <w:r>
        <w:rPr>
          <w:rFonts w:ascii="Consolas" w:hAnsi="Consolas" w:eastAsia="Consolas"/>
          <w:sz w:val="18"/>
        </w:rPr>
        <w:t>For each seed and variant:</w:t>
      </w:r>
    </w:p>
    <w:p>
      <w:r>
        <w:rPr>
          <w:rFonts w:ascii="Consolas" w:hAnsi="Consolas" w:eastAsia="Consolas"/>
          <w:sz w:val="18"/>
        </w:rPr>
        <w:t xml:space="preserve">    generate one exogenous synthetic path</w:t>
      </w:r>
    </w:p>
    <w:p>
      <w:r>
        <w:rPr>
          <w:rFonts w:ascii="Consolas" w:hAnsi="Consolas" w:eastAsia="Consolas"/>
          <w:sz w:val="18"/>
        </w:rPr>
        <w:t xml:space="preserve">    split path chronologically into train and test segments</w:t>
      </w:r>
    </w:p>
    <w:p>
      <w:r>
        <w:rPr>
          <w:rFonts w:ascii="Consolas" w:hAnsi="Consolas" w:eastAsia="Consolas"/>
          <w:sz w:val="18"/>
        </w:rPr>
        <w:t xml:space="preserve">    configure observation channels for the variant</w:t>
      </w:r>
    </w:p>
    <w:p>
      <w:r>
        <w:rPr>
          <w:rFonts w:ascii="Consolas" w:hAnsi="Consolas" w:eastAsia="Consolas"/>
          <w:sz w:val="18"/>
        </w:rPr>
        <w:t xml:space="preserve">    train PPO on the train segment for the configured timesteps</w:t>
      </w:r>
    </w:p>
    <w:p>
      <w:r>
        <w:rPr>
          <w:rFonts w:ascii="Consolas" w:hAnsi="Consolas" w:eastAsia="Consolas"/>
          <w:sz w:val="18"/>
        </w:rPr>
        <w:t xml:space="preserve">    evaluate the deterministic policy on the test segment</w:t>
      </w:r>
    </w:p>
    <w:p>
      <w:r>
        <w:rPr>
          <w:rFonts w:ascii="Consolas" w:hAnsi="Consolas" w:eastAsia="Consolas"/>
          <w:sz w:val="18"/>
        </w:rPr>
        <w:t xml:space="preserve">    log Sharpe-like ratio, final equity, inventory p99, fill rate, and per-regime metrics</w:t>
      </w:r>
    </w:p>
    <w:p>
      <w:r>
        <w:rPr>
          <w:rFonts w:ascii="Consolas" w:hAnsi="Consolas" w:eastAsia="Consolas"/>
          <w:sz w:val="18"/>
        </w:rPr>
        <w:t>Aggregate seed-paired statistics across variants</w:t>
      </w:r>
    </w:p>
    <w:p/>
    <w:p>
      <w:pPr>
        <w:pStyle w:val="Heading3"/>
      </w:pPr>
      <w:r>
        <w:t>6.5 WP6 Signal-Informativeness Sweep</w:t>
      </w:r>
    </w:p>
    <w:p>
      <w:r>
        <w:rPr>
          <w:rFonts w:ascii="Consolas" w:hAnsi="Consolas" w:eastAsia="Consolas"/>
          <w:sz w:val="18"/>
        </w:rPr>
        <w:t>For each degradation condition in {full, noisy, lagged, coarsened, none}:</w:t>
      </w:r>
    </w:p>
    <w:p>
      <w:r>
        <w:rPr>
          <w:rFonts w:ascii="Consolas" w:hAnsi="Consolas" w:eastAsia="Consolas"/>
          <w:sz w:val="18"/>
        </w:rPr>
        <w:t xml:space="preserve">    transform sigma_hat according to the condition</w:t>
      </w:r>
    </w:p>
    <w:p>
      <w:r>
        <w:rPr>
          <w:rFonts w:ascii="Consolas" w:hAnsi="Consolas" w:eastAsia="Consolas"/>
          <w:sz w:val="18"/>
        </w:rPr>
        <w:t xml:space="preserve">    for each valid variant and seed:</w:t>
      </w:r>
    </w:p>
    <w:p>
      <w:r>
        <w:rPr>
          <w:rFonts w:ascii="Consolas" w:hAnsi="Consolas" w:eastAsia="Consolas"/>
          <w:sz w:val="18"/>
        </w:rPr>
        <w:t xml:space="preserve">        train PPO and evaluate OOS</w:t>
      </w:r>
    </w:p>
    <w:p>
      <w:r>
        <w:rPr>
          <w:rFonts w:ascii="Consolas" w:hAnsi="Consolas" w:eastAsia="Consolas"/>
          <w:sz w:val="18"/>
        </w:rPr>
        <w:t>Aggregate condition-variant means and paired comparisons</w:t>
      </w:r>
    </w:p>
    <w:p>
      <w:r>
        <w:rPr>
          <w:rFonts w:ascii="Consolas" w:hAnsi="Consolas" w:eastAsia="Consolas"/>
          <w:sz w:val="18"/>
        </w:rPr>
        <w:t>Test whether combined gains value as sigma_hat is degraded</w:t>
      </w:r>
    </w:p>
    <w:p/>
    <w:p>
      <w:pPr>
        <w:pStyle w:val="Heading2"/>
      </w:pPr>
      <w:r>
        <w:t>6.6 Reference Implementation Map</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r>
              <w:rPr>
                <w:b/>
                <w:sz w:val="18"/>
              </w:rPr>
              <w:t>Component</w:t>
            </w:r>
          </w:p>
        </w:tc>
        <w:tc>
          <w:tcPr>
            <w:tcW w:type="dxa" w:w="6060"/>
            <w:shd w:fill="F2F4F7"/>
            <w:vAlign w:val="center"/>
            <w:tcMar>
              <w:top w:w="80" w:type="dxa"/>
              <w:start w:w="120" w:type="dxa"/>
              <w:bottom w:w="80" w:type="dxa"/>
              <w:end w:w="120" w:type="dxa"/>
            </w:tcMar>
          </w:tcPr>
          <w:p>
            <w:r>
              <w:rPr>
                <w:b/>
                <w:sz w:val="18"/>
              </w:rPr>
              <w:t>Reference file</w:t>
            </w:r>
          </w:p>
        </w:tc>
      </w:tr>
      <w:tr>
        <w:tc>
          <w:tcPr>
            <w:tcW w:type="dxa" w:w="3300"/>
            <w:vAlign w:val="center"/>
            <w:tcMar>
              <w:top w:w="80" w:type="dxa"/>
              <w:start w:w="120" w:type="dxa"/>
              <w:bottom w:w="80" w:type="dxa"/>
              <w:end w:w="120" w:type="dxa"/>
            </w:tcMar>
          </w:tcPr>
          <w:p>
            <w:r>
              <w:rPr>
                <w:sz w:val="18"/>
              </w:rPr>
              <w:t>Run lifecycle</w:t>
            </w:r>
          </w:p>
        </w:tc>
        <w:tc>
          <w:tcPr>
            <w:tcW w:type="dxa" w:w="6060"/>
            <w:vAlign w:val="center"/>
            <w:tcMar>
              <w:top w:w="80" w:type="dxa"/>
              <w:start w:w="120" w:type="dxa"/>
              <w:bottom w:w="80" w:type="dxa"/>
              <w:end w:w="120" w:type="dxa"/>
            </w:tcMar>
          </w:tcPr>
          <w:p>
            <w:r>
              <w:rPr>
                <w:sz w:val="18"/>
              </w:rPr>
              <w:t>src/run_context.py, run.py</w:t>
            </w:r>
          </w:p>
        </w:tc>
      </w:tr>
      <w:tr>
        <w:tc>
          <w:tcPr>
            <w:tcW w:type="dxa" w:w="3300"/>
            <w:vAlign w:val="center"/>
            <w:tcMar>
              <w:top w:w="80" w:type="dxa"/>
              <w:start w:w="120" w:type="dxa"/>
              <w:bottom w:w="80" w:type="dxa"/>
              <w:end w:w="120" w:type="dxa"/>
            </w:tcMar>
          </w:tcPr>
          <w:p>
            <w:r>
              <w:rPr>
                <w:sz w:val="18"/>
              </w:rPr>
              <w:t>Simulator</w:t>
            </w:r>
          </w:p>
        </w:tc>
        <w:tc>
          <w:tcPr>
            <w:tcW w:type="dxa" w:w="6060"/>
            <w:vAlign w:val="center"/>
            <w:tcMar>
              <w:top w:w="80" w:type="dxa"/>
              <w:start w:w="120" w:type="dxa"/>
              <w:bottom w:w="80" w:type="dxa"/>
              <w:end w:w="120" w:type="dxa"/>
            </w:tcMar>
          </w:tcPr>
          <w:p>
            <w:r>
              <w:rPr>
                <w:sz w:val="18"/>
              </w:rPr>
              <w:t>src/wp1/sim.py</w:t>
            </w:r>
          </w:p>
        </w:tc>
      </w:tr>
      <w:tr>
        <w:tc>
          <w:tcPr>
            <w:tcW w:type="dxa" w:w="3300"/>
            <w:vAlign w:val="center"/>
            <w:tcMar>
              <w:top w:w="80" w:type="dxa"/>
              <w:start w:w="120" w:type="dxa"/>
              <w:bottom w:w="80" w:type="dxa"/>
              <w:end w:w="120" w:type="dxa"/>
            </w:tcMar>
          </w:tcPr>
          <w:p>
            <w:r>
              <w:rPr>
                <w:sz w:val="18"/>
              </w:rPr>
              <w:t>Regime generation and detectors</w:t>
            </w:r>
          </w:p>
        </w:tc>
        <w:tc>
          <w:tcPr>
            <w:tcW w:type="dxa" w:w="6060"/>
            <w:vAlign w:val="center"/>
            <w:tcMar>
              <w:top w:w="80" w:type="dxa"/>
              <w:start w:w="120" w:type="dxa"/>
              <w:bottom w:w="80" w:type="dxa"/>
              <w:end w:w="120" w:type="dxa"/>
            </w:tcMar>
          </w:tcPr>
          <w:p>
            <w:r>
              <w:rPr>
                <w:sz w:val="18"/>
              </w:rPr>
              <w:t>src/wp2/synth_regime.py</w:t>
            </w:r>
          </w:p>
        </w:tc>
      </w:tr>
      <w:tr>
        <w:tc>
          <w:tcPr>
            <w:tcW w:type="dxa" w:w="3300"/>
            <w:vAlign w:val="center"/>
            <w:tcMar>
              <w:top w:w="80" w:type="dxa"/>
              <w:start w:w="120" w:type="dxa"/>
              <w:bottom w:w="80" w:type="dxa"/>
              <w:end w:w="120" w:type="dxa"/>
            </w:tcMar>
          </w:tcPr>
          <w:p>
            <w:r>
              <w:rPr>
                <w:sz w:val="18"/>
              </w:rPr>
              <w:t>Gymnasium environment</w:t>
            </w:r>
          </w:p>
        </w:tc>
        <w:tc>
          <w:tcPr>
            <w:tcW w:type="dxa" w:w="6060"/>
            <w:vAlign w:val="center"/>
            <w:tcMar>
              <w:top w:w="80" w:type="dxa"/>
              <w:start w:w="120" w:type="dxa"/>
              <w:bottom w:w="80" w:type="dxa"/>
              <w:end w:w="120" w:type="dxa"/>
            </w:tcMar>
          </w:tcPr>
          <w:p>
            <w:r>
              <w:rPr>
                <w:sz w:val="18"/>
              </w:rPr>
              <w:t>src/wp3/env.py</w:t>
            </w:r>
          </w:p>
        </w:tc>
      </w:tr>
      <w:tr>
        <w:tc>
          <w:tcPr>
            <w:tcW w:type="dxa" w:w="3300"/>
            <w:vAlign w:val="center"/>
            <w:tcMar>
              <w:top w:w="80" w:type="dxa"/>
              <w:start w:w="120" w:type="dxa"/>
              <w:bottom w:w="80" w:type="dxa"/>
              <w:end w:w="120" w:type="dxa"/>
            </w:tcMar>
          </w:tcPr>
          <w:p>
            <w:r>
              <w:rPr>
                <w:sz w:val="18"/>
              </w:rPr>
              <w:t>PPO training</w:t>
            </w:r>
          </w:p>
        </w:tc>
        <w:tc>
          <w:tcPr>
            <w:tcW w:type="dxa" w:w="6060"/>
            <w:vAlign w:val="center"/>
            <w:tcMar>
              <w:top w:w="80" w:type="dxa"/>
              <w:start w:w="120" w:type="dxa"/>
              <w:bottom w:w="80" w:type="dxa"/>
              <w:end w:w="120" w:type="dxa"/>
            </w:tcMar>
          </w:tcPr>
          <w:p>
            <w:r>
              <w:rPr>
                <w:sz w:val="18"/>
              </w:rPr>
              <w:t>src/wp4/job_w4_ppo.py</w:t>
            </w:r>
          </w:p>
        </w:tc>
      </w:tr>
      <w:tr>
        <w:tc>
          <w:tcPr>
            <w:tcW w:type="dxa" w:w="3300"/>
            <w:vAlign w:val="center"/>
            <w:tcMar>
              <w:top w:w="80" w:type="dxa"/>
              <w:start w:w="120" w:type="dxa"/>
              <w:bottom w:w="80" w:type="dxa"/>
              <w:end w:w="120" w:type="dxa"/>
            </w:tcMar>
          </w:tcPr>
          <w:p>
            <w:r>
              <w:rPr>
                <w:sz w:val="18"/>
              </w:rPr>
              <w:t>WP5 evaluation</w:t>
            </w:r>
          </w:p>
        </w:tc>
        <w:tc>
          <w:tcPr>
            <w:tcW w:type="dxa" w:w="6060"/>
            <w:vAlign w:val="center"/>
            <w:tcMar>
              <w:top w:w="80" w:type="dxa"/>
              <w:start w:w="120" w:type="dxa"/>
              <w:bottom w:w="80" w:type="dxa"/>
              <w:end w:w="120" w:type="dxa"/>
            </w:tcMar>
          </w:tcPr>
          <w:p>
            <w:r>
              <w:rPr>
                <w:sz w:val="18"/>
              </w:rPr>
              <w:t>src/wp5/job_w5_eval.py</w:t>
            </w:r>
          </w:p>
        </w:tc>
      </w:tr>
      <w:tr>
        <w:tc>
          <w:tcPr>
            <w:tcW w:type="dxa" w:w="3300"/>
            <w:vAlign w:val="center"/>
            <w:tcMar>
              <w:top w:w="80" w:type="dxa"/>
              <w:start w:w="120" w:type="dxa"/>
              <w:bottom w:w="80" w:type="dxa"/>
              <w:end w:w="120" w:type="dxa"/>
            </w:tcMar>
          </w:tcPr>
          <w:p>
            <w:r>
              <w:rPr>
                <w:sz w:val="18"/>
              </w:rPr>
              <w:t>WP6 sweep</w:t>
            </w:r>
          </w:p>
        </w:tc>
        <w:tc>
          <w:tcPr>
            <w:tcW w:type="dxa" w:w="6060"/>
            <w:vAlign w:val="center"/>
            <w:tcMar>
              <w:top w:w="80" w:type="dxa"/>
              <w:start w:w="120" w:type="dxa"/>
              <w:bottom w:w="80" w:type="dxa"/>
              <w:end w:w="120" w:type="dxa"/>
            </w:tcMar>
          </w:tcPr>
          <w:p>
            <w:r>
              <w:rPr>
                <w:sz w:val="18"/>
              </w:rPr>
              <w:t>src/wp6/job_w6_sweep_full.py</w:t>
            </w:r>
          </w:p>
        </w:tc>
      </w:tr>
    </w:tbl>
    <w:p/>
    <w:p>
      <w:pPr>
        <w:pStyle w:val="Heading2"/>
      </w:pPr>
      <w:r>
        <w:t>6.7 Complexity Analysis</w:t>
      </w:r>
    </w:p>
    <w:p>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pPr>
        <w:pStyle w:val="Heading2"/>
      </w:pPr>
      <w:r>
        <w:t>6.8 Executable Example Commands</w:t>
      </w:r>
    </w:p>
    <w:p>
      <w:pPr>
        <w:pStyle w:val="Heading3"/>
      </w:pPr>
      <w:r>
        <w:t>Commands</w:t>
      </w:r>
    </w:p>
    <w:p>
      <w:r>
        <w:rPr>
          <w:rFonts w:ascii="Consolas" w:hAnsi="Consolas" w:eastAsia="Consolas"/>
          <w:sz w:val="18"/>
        </w:rPr>
        <w:t>python run.py --config config/w5_main.json</w:t>
      </w:r>
    </w:p>
    <w:p>
      <w:r>
        <w:rPr>
          <w:rFonts w:ascii="Consolas" w:hAnsi="Consolas" w:eastAsia="Consolas"/>
          <w:sz w:val="18"/>
        </w:rPr>
        <w:t>python run.py --config config/w5_detector_full.json</w:t>
      </w:r>
    </w:p>
    <w:p>
      <w:r>
        <w:rPr>
          <w:rFonts w:ascii="Consolas" w:hAnsi="Consolas" w:eastAsia="Consolas"/>
          <w:sz w:val="18"/>
        </w:rPr>
        <w:t>python run.py --config config/w5_eta_regime.json</w:t>
      </w:r>
    </w:p>
    <w:p>
      <w:r>
        <w:rPr>
          <w:rFonts w:ascii="Consolas" w:hAnsi="Consolas" w:eastAsia="Consolas"/>
          <w:sz w:val="18"/>
        </w:rPr>
        <w:t>python run.py --config config/w5_misspec_mild.json</w:t>
      </w:r>
    </w:p>
    <w:p>
      <w:r>
        <w:rPr>
          <w:rFonts w:ascii="Consolas" w:hAnsi="Consolas" w:eastAsia="Consolas"/>
          <w:sz w:val="18"/>
        </w:rPr>
        <w:t>python run.py --config config/w6_sweep_full.json</w:t>
      </w:r>
    </w:p>
    <w:p>
      <w:r>
        <w:rPr>
          <w:rFonts w:ascii="Consolas" w:hAnsi="Consolas" w:eastAsia="Consolas"/>
          <w:sz w:val="18"/>
        </w:rPr>
        <w:t>python run.py --config config/w6_sweep_full.json --resume &lt;run_id&gt;</w:t>
      </w:r>
    </w:p>
    <w:p/>
    <w:p>
      <w:pPr>
        <w:pStyle w:val="Heading1"/>
      </w:pPr>
      <w:r>
        <w:t>7 Experimental Setup</w:t>
      </w:r>
    </w:p>
    <w:p>
      <w:pPr>
        <w:pStyle w:val="Heading2"/>
      </w:pPr>
      <w:r>
        <w:t>7.1 Canonical Configuration Protocol</w:t>
      </w:r>
    </w:p>
    <w:p>
      <w:r>
        <w:t>Canonical experiments are driven by JSON configs under `config/`. Shared parameters include mid0 = 100.0, tick_size = 0.01, dt = 0.2, baseline sigma_mid_ticks = 0.8, A = 5.0, k = 1.5, fee_bps = 0.2, and latency_steps = 1.</w:t>
      </w:r>
    </w:p>
    <w:p>
      <w:pPr>
        <w:pStyle w:val="Heading2"/>
      </w:pPr>
      <w:r>
        <w:t>7.2 Data Generation and Preprocessing</w:t>
      </w:r>
    </w:p>
    <w:p>
      <w:r>
        <w:t>Each run generates synthetic mid-price and regime paths, computes rolling realized volatility, and assigns detector labels. The main reported pipelines use causal rv_baseline labels.</w:t>
      </w:r>
    </w:p>
    <w:p>
      <w:pPr>
        <w:pStyle w:val="Heading2"/>
      </w:pPr>
      <w:r>
        <w:t>7.3 Train/Test Split</w:t>
      </w:r>
    </w:p>
    <w:p>
      <w:r>
        <w:t>WP5 and WP6 use a chronological 70/30 split on the exogenous series. PPO trains on the first segment and is evaluated deterministically on the held-out OOS segment.</w:t>
      </w:r>
    </w:p>
    <w:p>
      <w:pPr>
        <w:pStyle w:val="Heading2"/>
      </w:pPr>
      <w:r>
        <w:t>7.4 Strategy Variants</w:t>
      </w:r>
    </w:p>
    <w:p>
      <w:r>
        <w:t>The main WP5 comparison evaluates naive, AS, ppo_aware, and ppo_blind. The ablation and WP6 designs use sigma_only, regime_only, combined, oracle_pure, and oracle_full.</w:t>
      </w:r>
    </w:p>
    <w:p>
      <w:pPr>
        <w:pStyle w:val="Heading2"/>
      </w:pPr>
      <w:r>
        <w:t>7.5 Detector Variants</w:t>
      </w:r>
    </w:p>
    <w:tbl>
      <w:tblPr>
        <w:tblStyle w:val="TableGrid"/>
        <w:tblW w:type="dxa" w:w="9360"/>
        <w:tblLook w:firstColumn="1" w:firstRow="1" w:lastColumn="0" w:lastRow="0" w:noHBand="0" w:noVBand="1" w:val="04A0"/>
        <w:tblInd w:w="120" w:type="dxa"/>
        <w:tblLayout w:type="fixed"/>
      </w:tblPr>
      <w:tblGrid>
        <w:gridCol w:w="1800"/>
        <w:gridCol w:w="2500"/>
        <w:gridCol w:w="5060"/>
      </w:tblGrid>
      <w:tr>
        <w:tc>
          <w:tcPr>
            <w:tcW w:type="dxa" w:w="1800"/>
            <w:shd w:fill="F2F4F7"/>
            <w:vAlign w:val="center"/>
            <w:tcMar>
              <w:top w:w="80" w:type="dxa"/>
              <w:start w:w="120" w:type="dxa"/>
              <w:bottom w:w="80" w:type="dxa"/>
              <w:end w:w="120" w:type="dxa"/>
            </w:tcMar>
          </w:tcPr>
          <w:p>
            <w:r>
              <w:rPr>
                <w:b/>
                <w:sz w:val="18"/>
              </w:rPr>
              <w:t>Detector</w:t>
            </w:r>
          </w:p>
        </w:tc>
        <w:tc>
          <w:tcPr>
            <w:tcW w:type="dxa" w:w="2500"/>
            <w:shd w:fill="F2F4F7"/>
            <w:vAlign w:val="center"/>
            <w:tcMar>
              <w:top w:w="80" w:type="dxa"/>
              <w:start w:w="120" w:type="dxa"/>
              <w:bottom w:w="80" w:type="dxa"/>
              <w:end w:w="120" w:type="dxa"/>
            </w:tcMar>
          </w:tcPr>
          <w:p>
            <w:r>
              <w:rPr>
                <w:b/>
                <w:sz w:val="18"/>
              </w:rPr>
              <w:t>Role</w:t>
            </w:r>
          </w:p>
        </w:tc>
        <w:tc>
          <w:tcPr>
            <w:tcW w:type="dxa" w:w="5060"/>
            <w:shd w:fill="F2F4F7"/>
            <w:vAlign w:val="center"/>
            <w:tcMar>
              <w:top w:w="80" w:type="dxa"/>
              <w:start w:w="120" w:type="dxa"/>
              <w:bottom w:w="80" w:type="dxa"/>
              <w:end w:w="120" w:type="dxa"/>
            </w:tcMar>
          </w:tcPr>
          <w:p>
            <w:r>
              <w:rPr>
                <w:b/>
                <w:sz w:val="18"/>
              </w:rPr>
              <w:t>Defense-safe caveat</w:t>
            </w:r>
          </w:p>
        </w:tc>
      </w:tr>
      <w:tr>
        <w:tc>
          <w:tcPr>
            <w:tcW w:type="dxa" w:w="1800"/>
            <w:vAlign w:val="center"/>
            <w:tcMar>
              <w:top w:w="80" w:type="dxa"/>
              <w:start w:w="120" w:type="dxa"/>
              <w:bottom w:w="80" w:type="dxa"/>
              <w:end w:w="120" w:type="dxa"/>
            </w:tcMar>
          </w:tcPr>
          <w:p>
            <w:r>
              <w:rPr>
                <w:sz w:val="18"/>
              </w:rPr>
              <w:t>rv_baseline</w:t>
            </w:r>
          </w:p>
        </w:tc>
        <w:tc>
          <w:tcPr>
            <w:tcW w:type="dxa" w:w="2500"/>
            <w:vAlign w:val="center"/>
            <w:tcMar>
              <w:top w:w="80" w:type="dxa"/>
              <w:start w:w="120" w:type="dxa"/>
              <w:bottom w:w="80" w:type="dxa"/>
              <w:end w:w="120" w:type="dxa"/>
            </w:tcMar>
          </w:tcPr>
          <w:p>
            <w:r>
              <w:rPr>
                <w:sz w:val="18"/>
              </w:rPr>
              <w:t>Main causal detector</w:t>
            </w:r>
          </w:p>
        </w:tc>
        <w:tc>
          <w:tcPr>
            <w:tcW w:type="dxa" w:w="5060"/>
            <w:vAlign w:val="center"/>
            <w:tcMar>
              <w:top w:w="80" w:type="dxa"/>
              <w:start w:w="120" w:type="dxa"/>
              <w:bottom w:w="80" w:type="dxa"/>
              <w:end w:w="120" w:type="dxa"/>
            </w:tcMar>
          </w:tcPr>
          <w:p>
            <w:r>
              <w:rPr>
                <w:sz w:val="18"/>
              </w:rPr>
              <w:t>Rolling RV threshold; used in main WP4/WP5/WP6 pipelines.</w:t>
            </w:r>
          </w:p>
        </w:tc>
      </w:tr>
      <w:tr>
        <w:tc>
          <w:tcPr>
            <w:tcW w:type="dxa" w:w="1800"/>
            <w:vAlign w:val="center"/>
            <w:tcMar>
              <w:top w:w="80" w:type="dxa"/>
              <w:start w:w="120" w:type="dxa"/>
              <w:bottom w:w="80" w:type="dxa"/>
              <w:end w:w="120" w:type="dxa"/>
            </w:tcMar>
          </w:tcPr>
          <w:p>
            <w:r>
              <w:rPr>
                <w:sz w:val="18"/>
              </w:rPr>
              <w:t>rv_dwell</w:t>
            </w:r>
          </w:p>
        </w:tc>
        <w:tc>
          <w:tcPr>
            <w:tcW w:type="dxa" w:w="2500"/>
            <w:vAlign w:val="center"/>
            <w:tcMar>
              <w:top w:w="80" w:type="dxa"/>
              <w:start w:w="120" w:type="dxa"/>
              <w:bottom w:w="80" w:type="dxa"/>
              <w:end w:w="120" w:type="dxa"/>
            </w:tcMar>
          </w:tcPr>
          <w:p>
            <w:r>
              <w:rPr>
                <w:sz w:val="18"/>
              </w:rPr>
              <w:t>Auxiliary robustness detector</w:t>
            </w:r>
          </w:p>
        </w:tc>
        <w:tc>
          <w:tcPr>
            <w:tcW w:type="dxa" w:w="5060"/>
            <w:vAlign w:val="center"/>
            <w:tcMar>
              <w:top w:w="80" w:type="dxa"/>
              <w:start w:w="120" w:type="dxa"/>
              <w:bottom w:w="80" w:type="dxa"/>
              <w:end w:w="120" w:type="dxa"/>
            </w:tcMar>
          </w:tcPr>
          <w:p>
            <w:r>
              <w:rPr>
                <w:sz w:val="18"/>
              </w:rPr>
              <w:t>Offline dwell smoothing; not the main causal detector.</w:t>
            </w:r>
          </w:p>
        </w:tc>
      </w:tr>
      <w:tr>
        <w:tc>
          <w:tcPr>
            <w:tcW w:type="dxa" w:w="1800"/>
            <w:vAlign w:val="center"/>
            <w:tcMar>
              <w:top w:w="80" w:type="dxa"/>
              <w:start w:w="120" w:type="dxa"/>
              <w:bottom w:w="80" w:type="dxa"/>
              <w:end w:w="120" w:type="dxa"/>
            </w:tcMar>
          </w:tcPr>
          <w:p>
            <w:r>
              <w:rPr>
                <w:sz w:val="18"/>
              </w:rPr>
              <w:t>hmm</w:t>
            </w:r>
          </w:p>
        </w:tc>
        <w:tc>
          <w:tcPr>
            <w:tcW w:type="dxa" w:w="2500"/>
            <w:vAlign w:val="center"/>
            <w:tcMar>
              <w:top w:w="80" w:type="dxa"/>
              <w:start w:w="120" w:type="dxa"/>
              <w:bottom w:w="80" w:type="dxa"/>
              <w:end w:w="120" w:type="dxa"/>
            </w:tcMar>
          </w:tcPr>
          <w:p>
            <w:r>
              <w:rPr>
                <w:sz w:val="18"/>
              </w:rPr>
              <w:t>Robustness detector</w:t>
            </w:r>
          </w:p>
        </w:tc>
        <w:tc>
          <w:tcPr>
            <w:tcW w:type="dxa" w:w="5060"/>
            <w:vAlign w:val="center"/>
            <w:tcMar>
              <w:top w:w="80" w:type="dxa"/>
              <w:start w:w="120" w:type="dxa"/>
              <w:bottom w:w="80" w:type="dxa"/>
              <w:end w:w="120" w:type="dxa"/>
            </w:tcMar>
          </w:tcPr>
          <w:p>
            <w:r>
              <w:rPr>
                <w:sz w:val="18"/>
              </w:rPr>
              <w:t>Higher classification accuracy but no reliable PPO advantage.</w:t>
            </w:r>
          </w:p>
        </w:tc>
      </w:tr>
    </w:tbl>
    <w:p/>
    <w:p>
      <w:pPr>
        <w:pStyle w:val="Heading2"/>
      </w:pPr>
      <w:r>
        <w:t>7.6 PPO Hyperparameters</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r>
              <w:rPr>
                <w:b/>
                <w:sz w:val="18"/>
              </w:rPr>
              <w:t>Hyperparameter</w:t>
            </w:r>
          </w:p>
        </w:tc>
        <w:tc>
          <w:tcPr>
            <w:tcW w:type="dxa" w:w="6360"/>
            <w:shd w:fill="F2F4F7"/>
            <w:vAlign w:val="center"/>
            <w:tcMar>
              <w:top w:w="80" w:type="dxa"/>
              <w:start w:w="120" w:type="dxa"/>
              <w:bottom w:w="80" w:type="dxa"/>
              <w:end w:w="120" w:type="dxa"/>
            </w:tcMar>
          </w:tcPr>
          <w:p>
            <w:r>
              <w:rPr>
                <w:b/>
                <w:sz w:val="18"/>
              </w:rPr>
              <w:t>Canonical full-run value</w:t>
            </w:r>
          </w:p>
        </w:tc>
      </w:tr>
      <w:tr>
        <w:tc>
          <w:tcPr>
            <w:tcW w:type="dxa" w:w="3000"/>
            <w:vAlign w:val="center"/>
            <w:tcMar>
              <w:top w:w="80" w:type="dxa"/>
              <w:start w:w="120" w:type="dxa"/>
              <w:bottom w:w="80" w:type="dxa"/>
              <w:end w:w="120" w:type="dxa"/>
            </w:tcMar>
          </w:tcPr>
          <w:p>
            <w:r>
              <w:rPr>
                <w:sz w:val="18"/>
              </w:rPr>
              <w:t>total_timesteps</w:t>
            </w:r>
          </w:p>
        </w:tc>
        <w:tc>
          <w:tcPr>
            <w:tcW w:type="dxa" w:w="6360"/>
            <w:vAlign w:val="center"/>
            <w:tcMar>
              <w:top w:w="80" w:type="dxa"/>
              <w:start w:w="120" w:type="dxa"/>
              <w:bottom w:w="80" w:type="dxa"/>
              <w:end w:w="120" w:type="dxa"/>
            </w:tcMar>
          </w:tcPr>
          <w:p>
            <w:r>
              <w:rPr>
                <w:sz w:val="18"/>
              </w:rPr>
              <w:t>1,000,000</w:t>
            </w:r>
          </w:p>
        </w:tc>
      </w:tr>
      <w:tr>
        <w:tc>
          <w:tcPr>
            <w:tcW w:type="dxa" w:w="3000"/>
            <w:vAlign w:val="center"/>
            <w:tcMar>
              <w:top w:w="80" w:type="dxa"/>
              <w:start w:w="120" w:type="dxa"/>
              <w:bottom w:w="80" w:type="dxa"/>
              <w:end w:w="120" w:type="dxa"/>
            </w:tcMar>
          </w:tcPr>
          <w:p>
            <w:r>
              <w:rPr>
                <w:sz w:val="18"/>
              </w:rPr>
              <w:t>learning_rate</w:t>
            </w:r>
          </w:p>
        </w:tc>
        <w:tc>
          <w:tcPr>
            <w:tcW w:type="dxa" w:w="6360"/>
            <w:vAlign w:val="center"/>
            <w:tcMar>
              <w:top w:w="80" w:type="dxa"/>
              <w:start w:w="120" w:type="dxa"/>
              <w:bottom w:w="80" w:type="dxa"/>
              <w:end w:w="120" w:type="dxa"/>
            </w:tcMar>
          </w:tcPr>
          <w:p>
            <w:r>
              <w:rPr>
                <w:sz w:val="18"/>
              </w:rPr>
              <w:t>3e-4</w:t>
            </w:r>
          </w:p>
        </w:tc>
      </w:tr>
      <w:tr>
        <w:tc>
          <w:tcPr>
            <w:tcW w:type="dxa" w:w="3000"/>
            <w:vAlign w:val="center"/>
            <w:tcMar>
              <w:top w:w="80" w:type="dxa"/>
              <w:start w:w="120" w:type="dxa"/>
              <w:bottom w:w="80" w:type="dxa"/>
              <w:end w:w="120" w:type="dxa"/>
            </w:tcMar>
          </w:tcPr>
          <w:p>
            <w:r>
              <w:rPr>
                <w:sz w:val="18"/>
              </w:rPr>
              <w:t>n_steps</w:t>
            </w:r>
          </w:p>
        </w:tc>
        <w:tc>
          <w:tcPr>
            <w:tcW w:type="dxa" w:w="6360"/>
            <w:vAlign w:val="center"/>
            <w:tcMar>
              <w:top w:w="80" w:type="dxa"/>
              <w:start w:w="120" w:type="dxa"/>
              <w:bottom w:w="80" w:type="dxa"/>
              <w:end w:w="120" w:type="dxa"/>
            </w:tcMar>
          </w:tcPr>
          <w:p>
            <w:r>
              <w:rPr>
                <w:sz w:val="18"/>
              </w:rPr>
              <w:t>2048</w:t>
            </w:r>
          </w:p>
        </w:tc>
      </w:tr>
      <w:tr>
        <w:tc>
          <w:tcPr>
            <w:tcW w:type="dxa" w:w="3000"/>
            <w:vAlign w:val="center"/>
            <w:tcMar>
              <w:top w:w="80" w:type="dxa"/>
              <w:start w:w="120" w:type="dxa"/>
              <w:bottom w:w="80" w:type="dxa"/>
              <w:end w:w="120" w:type="dxa"/>
            </w:tcMar>
          </w:tcPr>
          <w:p>
            <w:r>
              <w:rPr>
                <w:sz w:val="18"/>
              </w:rPr>
              <w:t>batch_size</w:t>
            </w:r>
          </w:p>
        </w:tc>
        <w:tc>
          <w:tcPr>
            <w:tcW w:type="dxa" w:w="6360"/>
            <w:vAlign w:val="center"/>
            <w:tcMar>
              <w:top w:w="80" w:type="dxa"/>
              <w:start w:w="120" w:type="dxa"/>
              <w:bottom w:w="80" w:type="dxa"/>
              <w:end w:w="120" w:type="dxa"/>
            </w:tcMar>
          </w:tcPr>
          <w:p>
            <w:r>
              <w:rPr>
                <w:sz w:val="18"/>
              </w:rPr>
              <w:t>256</w:t>
            </w:r>
          </w:p>
        </w:tc>
      </w:tr>
      <w:tr>
        <w:tc>
          <w:tcPr>
            <w:tcW w:type="dxa" w:w="3000"/>
            <w:vAlign w:val="center"/>
            <w:tcMar>
              <w:top w:w="80" w:type="dxa"/>
              <w:start w:w="120" w:type="dxa"/>
              <w:bottom w:w="80" w:type="dxa"/>
              <w:end w:w="120" w:type="dxa"/>
            </w:tcMar>
          </w:tcPr>
          <w:p>
            <w:r>
              <w:rPr>
                <w:sz w:val="18"/>
              </w:rPr>
              <w:t>n_epochs</w:t>
            </w:r>
          </w:p>
        </w:tc>
        <w:tc>
          <w:tcPr>
            <w:tcW w:type="dxa" w:w="6360"/>
            <w:vAlign w:val="center"/>
            <w:tcMar>
              <w:top w:w="80" w:type="dxa"/>
              <w:start w:w="120" w:type="dxa"/>
              <w:bottom w:w="80" w:type="dxa"/>
              <w:end w:w="120" w:type="dxa"/>
            </w:tcMar>
          </w:tcPr>
          <w:p>
            <w:r>
              <w:rPr>
                <w:sz w:val="18"/>
              </w:rPr>
              <w:t>10</w:t>
            </w:r>
          </w:p>
        </w:tc>
      </w:tr>
      <w:tr>
        <w:tc>
          <w:tcPr>
            <w:tcW w:type="dxa" w:w="3000"/>
            <w:vAlign w:val="center"/>
            <w:tcMar>
              <w:top w:w="80" w:type="dxa"/>
              <w:start w:w="120" w:type="dxa"/>
              <w:bottom w:w="80" w:type="dxa"/>
              <w:end w:w="120" w:type="dxa"/>
            </w:tcMar>
          </w:tcPr>
          <w:p>
            <w:r>
              <w:rPr>
                <w:sz w:val="18"/>
              </w:rPr>
              <w:t>gamma</w:t>
            </w:r>
          </w:p>
        </w:tc>
        <w:tc>
          <w:tcPr>
            <w:tcW w:type="dxa" w:w="6360"/>
            <w:vAlign w:val="center"/>
            <w:tcMar>
              <w:top w:w="80" w:type="dxa"/>
              <w:start w:w="120" w:type="dxa"/>
              <w:bottom w:w="80" w:type="dxa"/>
              <w:end w:w="120" w:type="dxa"/>
            </w:tcMar>
          </w:tcPr>
          <w:p>
            <w:r>
              <w:rPr>
                <w:sz w:val="18"/>
              </w:rPr>
              <w:t>0.999</w:t>
            </w:r>
          </w:p>
        </w:tc>
      </w:tr>
      <w:tr>
        <w:tc>
          <w:tcPr>
            <w:tcW w:type="dxa" w:w="3000"/>
            <w:vAlign w:val="center"/>
            <w:tcMar>
              <w:top w:w="80" w:type="dxa"/>
              <w:start w:w="120" w:type="dxa"/>
              <w:bottom w:w="80" w:type="dxa"/>
              <w:end w:w="120" w:type="dxa"/>
            </w:tcMar>
          </w:tcPr>
          <w:p>
            <w:r>
              <w:rPr>
                <w:sz w:val="18"/>
              </w:rPr>
              <w:t>clip_range</w:t>
            </w:r>
          </w:p>
        </w:tc>
        <w:tc>
          <w:tcPr>
            <w:tcW w:type="dxa" w:w="6360"/>
            <w:vAlign w:val="center"/>
            <w:tcMar>
              <w:top w:w="80" w:type="dxa"/>
              <w:start w:w="120" w:type="dxa"/>
              <w:bottom w:w="80" w:type="dxa"/>
              <w:end w:w="120" w:type="dxa"/>
            </w:tcMar>
          </w:tcPr>
          <w:p>
            <w:r>
              <w:rPr>
                <w:sz w:val="18"/>
              </w:rPr>
              <w:t>0.2</w:t>
            </w:r>
          </w:p>
        </w:tc>
      </w:tr>
      <w:tr>
        <w:tc>
          <w:tcPr>
            <w:tcW w:type="dxa" w:w="3000"/>
            <w:vAlign w:val="center"/>
            <w:tcMar>
              <w:top w:w="80" w:type="dxa"/>
              <w:start w:w="120" w:type="dxa"/>
              <w:bottom w:w="80" w:type="dxa"/>
              <w:end w:w="120" w:type="dxa"/>
            </w:tcMar>
          </w:tcPr>
          <w:p>
            <w:r>
              <w:rPr>
                <w:sz w:val="18"/>
              </w:rPr>
              <w:t>ent_coef</w:t>
            </w:r>
          </w:p>
        </w:tc>
        <w:tc>
          <w:tcPr>
            <w:tcW w:type="dxa" w:w="6360"/>
            <w:vAlign w:val="center"/>
            <w:tcMar>
              <w:top w:w="80" w:type="dxa"/>
              <w:start w:w="120" w:type="dxa"/>
              <w:bottom w:w="80" w:type="dxa"/>
              <w:end w:w="120" w:type="dxa"/>
            </w:tcMar>
          </w:tcPr>
          <w:p>
            <w:r>
              <w:rPr>
                <w:sz w:val="18"/>
              </w:rPr>
              <w:t>0.01 for full WP5/WP6 runs</w:t>
            </w:r>
          </w:p>
        </w:tc>
      </w:tr>
    </w:tbl>
    <w:p/>
    <w:p>
      <w:pPr>
        <w:pStyle w:val="Heading2"/>
      </w:pPr>
      <w:r>
        <w:t>7.7 Protected Evidence and No-Rerun Policy</w:t>
      </w:r>
    </w:p>
    <w:p>
      <w:r>
        <w:t>The thesis_31 adaptation reuses frozen results. It does not rerun PPO, WP5, WP6, figure scripts, or protected CSV generation. Protected evidence hashes are documented in `EVIDENCE_MANIFEST.md` and repeated in the reproducibility checklist.</w:t>
      </w:r>
    </w:p>
    <w:p>
      <w:pPr>
        <w:pStyle w:val="Heading1"/>
      </w:pPr>
      <w:r>
        <w:t>8 Results and Visualisation</w:t>
      </w:r>
    </w:p>
    <w:p>
      <w:pPr>
        <w:pStyle w:val="Heading2"/>
      </w:pPr>
      <w:r>
        <w:t>8.1 Main WP5 OOS Results</w:t>
      </w:r>
    </w:p>
    <w:p>
      <w:r>
        <w:t>The main 20-seed OOS evaluation shows that PPO variants produce much higher risk-adjusted performance than the fixed-spread and AS baselines. AS can produce higher raw equity, but with substantially larger inventory exposure.</w:t>
      </w:r>
    </w:p>
    <w:tbl>
      <w:tblPr>
        <w:tblStyle w:val="TableGrid"/>
        <w:tblW w:type="dxa" w:w="9360"/>
        <w:tblLook w:firstColumn="1" w:firstRow="1" w:lastColumn="0" w:lastRow="0" w:noHBand="0" w:noVBand="1" w:val="04A0"/>
        <w:tblInd w:w="120" w:type="dxa"/>
        <w:tblLayout w:type="fixed"/>
      </w:tblPr>
      <w:tblGrid>
        <w:gridCol w:w="1900"/>
        <w:gridCol w:w="1800"/>
        <w:gridCol w:w="1900"/>
        <w:gridCol w:w="1800"/>
        <w:gridCol w:w="1960"/>
      </w:tblGrid>
      <w:tr>
        <w:tc>
          <w:tcPr>
            <w:tcW w:type="dxa" w:w="1900"/>
            <w:shd w:fill="F2F4F7"/>
            <w:vAlign w:val="center"/>
            <w:tcMar>
              <w:top w:w="80" w:type="dxa"/>
              <w:start w:w="120" w:type="dxa"/>
              <w:bottom w:w="80" w:type="dxa"/>
              <w:end w:w="120" w:type="dxa"/>
            </w:tcMar>
          </w:tcPr>
          <w:p>
            <w:r>
              <w:rPr>
                <w:b/>
                <w:sz w:val="18"/>
              </w:rPr>
              <w:t>Strategy</w:t>
            </w:r>
          </w:p>
        </w:tc>
        <w:tc>
          <w:tcPr>
            <w:tcW w:type="dxa" w:w="1800"/>
            <w:shd w:fill="F2F4F7"/>
            <w:vAlign w:val="center"/>
            <w:tcMar>
              <w:top w:w="80" w:type="dxa"/>
              <w:start w:w="120" w:type="dxa"/>
              <w:bottom w:w="80" w:type="dxa"/>
              <w:end w:w="120" w:type="dxa"/>
            </w:tcMar>
          </w:tcPr>
          <w:p>
            <w:r>
              <w:rPr>
                <w:b/>
                <w:sz w:val="18"/>
              </w:rPr>
              <w:t>Mean Sharpe-like</w:t>
            </w:r>
          </w:p>
        </w:tc>
        <w:tc>
          <w:tcPr>
            <w:tcW w:type="dxa" w:w="1900"/>
            <w:shd w:fill="F2F4F7"/>
            <w:vAlign w:val="center"/>
            <w:tcMar>
              <w:top w:w="80" w:type="dxa"/>
              <w:start w:w="120" w:type="dxa"/>
              <w:bottom w:w="80" w:type="dxa"/>
              <w:end w:w="120" w:type="dxa"/>
            </w:tcMar>
          </w:tcPr>
          <w:p>
            <w:r>
              <w:rPr>
                <w:b/>
                <w:sz w:val="18"/>
              </w:rPr>
              <w:t>Mean final equity</w:t>
            </w:r>
          </w:p>
        </w:tc>
        <w:tc>
          <w:tcPr>
            <w:tcW w:type="dxa" w:w="1800"/>
            <w:shd w:fill="F2F4F7"/>
            <w:vAlign w:val="center"/>
            <w:tcMar>
              <w:top w:w="80" w:type="dxa"/>
              <w:start w:w="120" w:type="dxa"/>
              <w:bottom w:w="80" w:type="dxa"/>
              <w:end w:w="120" w:type="dxa"/>
            </w:tcMar>
          </w:tcPr>
          <w:p>
            <w:r>
              <w:rPr>
                <w:b/>
                <w:sz w:val="18"/>
              </w:rPr>
              <w:t>Mean inv_p99</w:t>
            </w:r>
          </w:p>
        </w:tc>
        <w:tc>
          <w:tcPr>
            <w:tcW w:type="dxa" w:w="1960"/>
            <w:shd w:fill="F2F4F7"/>
            <w:vAlign w:val="center"/>
            <w:tcMar>
              <w:top w:w="80" w:type="dxa"/>
              <w:start w:w="120" w:type="dxa"/>
              <w:bottom w:w="80" w:type="dxa"/>
              <w:end w:w="120" w:type="dxa"/>
            </w:tcMar>
          </w:tcPr>
          <w:p>
            <w:r>
              <w:rPr>
                <w:b/>
                <w:sz w:val="18"/>
              </w:rPr>
              <w:t>Mean fill rate</w:t>
            </w:r>
          </w:p>
        </w:tc>
      </w:tr>
      <w:tr>
        <w:tc>
          <w:tcPr>
            <w:tcW w:type="dxa" w:w="1900"/>
            <w:vAlign w:val="center"/>
            <w:tcMar>
              <w:top w:w="80" w:type="dxa"/>
              <w:start w:w="120" w:type="dxa"/>
              <w:bottom w:w="80" w:type="dxa"/>
              <w:end w:w="120" w:type="dxa"/>
            </w:tcMar>
          </w:tcPr>
          <w:p>
            <w:r>
              <w:rPr>
                <w:sz w:val="18"/>
              </w:rPr>
              <w:t>ppo_aware</w:t>
            </w:r>
          </w:p>
        </w:tc>
        <w:tc>
          <w:tcPr>
            <w:tcW w:type="dxa" w:w="1800"/>
            <w:vAlign w:val="center"/>
            <w:tcMar>
              <w:top w:w="80" w:type="dxa"/>
              <w:start w:w="120" w:type="dxa"/>
              <w:bottom w:w="80" w:type="dxa"/>
              <w:end w:w="120" w:type="dxa"/>
            </w:tcMar>
          </w:tcPr>
          <w:p>
            <w:r>
              <w:rPr>
                <w:sz w:val="18"/>
              </w:rPr>
              <w:t>0.715</w:t>
            </w:r>
          </w:p>
        </w:tc>
        <w:tc>
          <w:tcPr>
            <w:tcW w:type="dxa" w:w="1900"/>
            <w:vAlign w:val="center"/>
            <w:tcMar>
              <w:top w:w="80" w:type="dxa"/>
              <w:start w:w="120" w:type="dxa"/>
              <w:bottom w:w="80" w:type="dxa"/>
              <w:end w:w="120" w:type="dxa"/>
            </w:tcMar>
          </w:tcPr>
          <w:p>
            <w:r>
              <w:rPr>
                <w:sz w:val="18"/>
              </w:rPr>
              <w:t>4.10</w:t>
            </w:r>
          </w:p>
        </w:tc>
        <w:tc>
          <w:tcPr>
            <w:tcW w:type="dxa" w:w="1800"/>
            <w:vAlign w:val="center"/>
            <w:tcMar>
              <w:top w:w="80" w:type="dxa"/>
              <w:start w:w="120" w:type="dxa"/>
              <w:bottom w:w="80" w:type="dxa"/>
              <w:end w:w="120" w:type="dxa"/>
            </w:tcMar>
          </w:tcPr>
          <w:p>
            <w:r>
              <w:rPr>
                <w:sz w:val="18"/>
              </w:rPr>
              <w:t>2.00</w:t>
            </w:r>
          </w:p>
        </w:tc>
        <w:tc>
          <w:tcPr>
            <w:tcW w:type="dxa" w:w="1960"/>
            <w:vAlign w:val="center"/>
            <w:tcMar>
              <w:top w:w="80" w:type="dxa"/>
              <w:start w:w="120" w:type="dxa"/>
              <w:bottom w:w="80" w:type="dxa"/>
              <w:end w:w="120" w:type="dxa"/>
            </w:tcMar>
          </w:tcPr>
          <w:p>
            <w:r>
              <w:rPr>
                <w:sz w:val="18"/>
              </w:rPr>
              <w:t>0.236</w:t>
            </w:r>
          </w:p>
        </w:tc>
      </w:tr>
      <w:tr>
        <w:tc>
          <w:tcPr>
            <w:tcW w:type="dxa" w:w="1900"/>
            <w:vAlign w:val="center"/>
            <w:tcMar>
              <w:top w:w="80" w:type="dxa"/>
              <w:start w:w="120" w:type="dxa"/>
              <w:bottom w:w="80" w:type="dxa"/>
              <w:end w:w="120" w:type="dxa"/>
            </w:tcMar>
          </w:tcPr>
          <w:p>
            <w:r>
              <w:rPr>
                <w:sz w:val="18"/>
              </w:rPr>
              <w:t>ppo_blind</w:t>
            </w:r>
          </w:p>
        </w:tc>
        <w:tc>
          <w:tcPr>
            <w:tcW w:type="dxa" w:w="1800"/>
            <w:vAlign w:val="center"/>
            <w:tcMar>
              <w:top w:w="80" w:type="dxa"/>
              <w:start w:w="120" w:type="dxa"/>
              <w:bottom w:w="80" w:type="dxa"/>
              <w:end w:w="120" w:type="dxa"/>
            </w:tcMar>
          </w:tcPr>
          <w:p>
            <w:r>
              <w:rPr>
                <w:sz w:val="18"/>
              </w:rPr>
              <w:t>0.740</w:t>
            </w:r>
          </w:p>
        </w:tc>
        <w:tc>
          <w:tcPr>
            <w:tcW w:type="dxa" w:w="1900"/>
            <w:vAlign w:val="center"/>
            <w:tcMar>
              <w:top w:w="80" w:type="dxa"/>
              <w:start w:w="120" w:type="dxa"/>
              <w:bottom w:w="80" w:type="dxa"/>
              <w:end w:w="120" w:type="dxa"/>
            </w:tcMar>
          </w:tcPr>
          <w:p>
            <w:r>
              <w:rPr>
                <w:sz w:val="18"/>
              </w:rPr>
              <w:t>4.42</w:t>
            </w:r>
          </w:p>
        </w:tc>
        <w:tc>
          <w:tcPr>
            <w:tcW w:type="dxa" w:w="1800"/>
            <w:vAlign w:val="center"/>
            <w:tcMar>
              <w:top w:w="80" w:type="dxa"/>
              <w:start w:w="120" w:type="dxa"/>
              <w:bottom w:w="80" w:type="dxa"/>
              <w:end w:w="120" w:type="dxa"/>
            </w:tcMar>
          </w:tcPr>
          <w:p>
            <w:r>
              <w:rPr>
                <w:sz w:val="18"/>
              </w:rPr>
              <w:t>2.05</w:t>
            </w:r>
          </w:p>
        </w:tc>
        <w:tc>
          <w:tcPr>
            <w:tcW w:type="dxa" w:w="1960"/>
            <w:vAlign w:val="center"/>
            <w:tcMar>
              <w:top w:w="80" w:type="dxa"/>
              <w:start w:w="120" w:type="dxa"/>
              <w:bottom w:w="80" w:type="dxa"/>
              <w:end w:w="120" w:type="dxa"/>
            </w:tcMar>
          </w:tcPr>
          <w:p>
            <w:r>
              <w:rPr>
                <w:sz w:val="18"/>
              </w:rPr>
              <w:t>0.232</w:t>
            </w:r>
          </w:p>
        </w:tc>
      </w:tr>
      <w:tr>
        <w:tc>
          <w:tcPr>
            <w:tcW w:type="dxa" w:w="1900"/>
            <w:vAlign w:val="center"/>
            <w:tcMar>
              <w:top w:w="80" w:type="dxa"/>
              <w:start w:w="120" w:type="dxa"/>
              <w:bottom w:w="80" w:type="dxa"/>
              <w:end w:w="120" w:type="dxa"/>
            </w:tcMar>
          </w:tcPr>
          <w:p>
            <w:r>
              <w:rPr>
                <w:sz w:val="18"/>
              </w:rPr>
              <w:t>AS</w:t>
            </w:r>
          </w:p>
        </w:tc>
        <w:tc>
          <w:tcPr>
            <w:tcW w:type="dxa" w:w="1800"/>
            <w:vAlign w:val="center"/>
            <w:tcMar>
              <w:top w:w="80" w:type="dxa"/>
              <w:start w:w="120" w:type="dxa"/>
              <w:bottom w:w="80" w:type="dxa"/>
              <w:end w:w="120" w:type="dxa"/>
            </w:tcMar>
          </w:tcPr>
          <w:p>
            <w:r>
              <w:rPr>
                <w:sz w:val="18"/>
              </w:rPr>
              <w:t>0.105</w:t>
            </w:r>
          </w:p>
        </w:tc>
        <w:tc>
          <w:tcPr>
            <w:tcW w:type="dxa" w:w="1900"/>
            <w:vAlign w:val="center"/>
            <w:tcMar>
              <w:top w:w="80" w:type="dxa"/>
              <w:start w:w="120" w:type="dxa"/>
              <w:bottom w:w="80" w:type="dxa"/>
              <w:end w:w="120" w:type="dxa"/>
            </w:tcMar>
          </w:tcPr>
          <w:p>
            <w:r>
              <w:rPr>
                <w:sz w:val="18"/>
              </w:rPr>
              <w:t>5.05</w:t>
            </w:r>
          </w:p>
        </w:tc>
        <w:tc>
          <w:tcPr>
            <w:tcW w:type="dxa" w:w="1800"/>
            <w:vAlign w:val="center"/>
            <w:tcMar>
              <w:top w:w="80" w:type="dxa"/>
              <w:start w:w="120" w:type="dxa"/>
              <w:bottom w:w="80" w:type="dxa"/>
              <w:end w:w="120" w:type="dxa"/>
            </w:tcMar>
          </w:tcPr>
          <w:p>
            <w:r>
              <w:rPr>
                <w:sz w:val="18"/>
              </w:rPr>
              <w:t>29.95</w:t>
            </w:r>
          </w:p>
        </w:tc>
        <w:tc>
          <w:tcPr>
            <w:tcW w:type="dxa" w:w="1960"/>
            <w:vAlign w:val="center"/>
            <w:tcMar>
              <w:top w:w="80" w:type="dxa"/>
              <w:start w:w="120" w:type="dxa"/>
              <w:bottom w:w="80" w:type="dxa"/>
              <w:end w:w="120" w:type="dxa"/>
            </w:tcMar>
          </w:tcPr>
          <w:p>
            <w:r>
              <w:rPr>
                <w:sz w:val="18"/>
              </w:rPr>
              <w:t>0.444</w:t>
            </w:r>
          </w:p>
        </w:tc>
      </w:tr>
      <w:tr>
        <w:tc>
          <w:tcPr>
            <w:tcW w:type="dxa" w:w="1900"/>
            <w:vAlign w:val="center"/>
            <w:tcMar>
              <w:top w:w="80" w:type="dxa"/>
              <w:start w:w="120" w:type="dxa"/>
              <w:bottom w:w="80" w:type="dxa"/>
              <w:end w:w="120" w:type="dxa"/>
            </w:tcMar>
          </w:tcPr>
          <w:p>
            <w:r>
              <w:rPr>
                <w:sz w:val="18"/>
              </w:rPr>
              <w:t>naive</w:t>
            </w:r>
          </w:p>
        </w:tc>
        <w:tc>
          <w:tcPr>
            <w:tcW w:type="dxa" w:w="1800"/>
            <w:vAlign w:val="center"/>
            <w:tcMar>
              <w:top w:w="80" w:type="dxa"/>
              <w:start w:w="120" w:type="dxa"/>
              <w:bottom w:w="80" w:type="dxa"/>
              <w:end w:w="120" w:type="dxa"/>
            </w:tcMar>
          </w:tcPr>
          <w:p>
            <w:r>
              <w:rPr>
                <w:sz w:val="18"/>
              </w:rPr>
              <w:t>0.127</w:t>
            </w:r>
          </w:p>
        </w:tc>
        <w:tc>
          <w:tcPr>
            <w:tcW w:type="dxa" w:w="1900"/>
            <w:vAlign w:val="center"/>
            <w:tcMar>
              <w:top w:w="80" w:type="dxa"/>
              <w:start w:w="120" w:type="dxa"/>
              <w:bottom w:w="80" w:type="dxa"/>
              <w:end w:w="120" w:type="dxa"/>
            </w:tcMar>
          </w:tcPr>
          <w:p>
            <w:r>
              <w:rPr>
                <w:sz w:val="18"/>
              </w:rPr>
              <w:t>4.49</w:t>
            </w:r>
          </w:p>
        </w:tc>
        <w:tc>
          <w:tcPr>
            <w:tcW w:type="dxa" w:w="1800"/>
            <w:vAlign w:val="center"/>
            <w:tcMar>
              <w:top w:w="80" w:type="dxa"/>
              <w:start w:w="120" w:type="dxa"/>
              <w:bottom w:w="80" w:type="dxa"/>
              <w:end w:w="120" w:type="dxa"/>
            </w:tcMar>
          </w:tcPr>
          <w:p>
            <w:r>
              <w:rPr>
                <w:sz w:val="18"/>
              </w:rPr>
              <w:t>21.20</w:t>
            </w:r>
          </w:p>
        </w:tc>
        <w:tc>
          <w:tcPr>
            <w:tcW w:type="dxa" w:w="1960"/>
            <w:vAlign w:val="center"/>
            <w:tcMar>
              <w:top w:w="80" w:type="dxa"/>
              <w:start w:w="120" w:type="dxa"/>
              <w:bottom w:w="80" w:type="dxa"/>
              <w:end w:w="120" w:type="dxa"/>
            </w:tcMar>
          </w:tcPr>
          <w:p>
            <w:r>
              <w:rPr>
                <w:sz w:val="18"/>
              </w:rPr>
              <w:t>0.119</w:t>
            </w:r>
          </w:p>
        </w:tc>
      </w:tr>
    </w:tbl>
    <w:p/>
    <w:p>
      <w:r>
        <w:t>AS has higher raw equity but carries substantially larger inventory tail risk; therefore the main comparison is risk-adjusted performance and inventory control, not raw equity alone.</w:t>
      </w:r>
    </w:p>
    <w:p>
      <w:pPr>
        <w:keepNext/>
        <w:keepLines/>
        <w:jc w:val="center"/>
      </w:pPr>
      <w:r>
        <w:drawing>
          <wp:inline xmlns:a="http://schemas.openxmlformats.org/drawingml/2006/main" xmlns:pic="http://schemas.openxmlformats.org/drawingml/2006/picture">
            <wp:extent cx="5257800" cy="2060489"/>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257800" cy="2060489"/>
                    </a:xfrm>
                    <a:prstGeom prst="rect"/>
                  </pic:spPr>
                </pic:pic>
              </a:graphicData>
            </a:graphic>
          </wp:inline>
        </w:drawing>
      </w:r>
    </w:p>
    <w:p>
      <w:pPr>
        <w:pStyle w:val="Caption"/>
        <w:keepLines/>
        <w:jc w:val="center"/>
      </w:pPr>
      <w:r>
        <w:t>Figure 1. Main WP5 OOS results: PPO variants dominate naive and AS on risk-adjusted performance, while AS carries much larger inventory tail risk.</w:t>
      </w:r>
    </w:p>
    <w:p>
      <w:pPr>
        <w:keepNext/>
        <w:keepLines/>
        <w:jc w:val="center"/>
      </w:pPr>
      <w:r>
        <w:drawing>
          <wp:inline xmlns:a="http://schemas.openxmlformats.org/drawingml/2006/main" xmlns:pic="http://schemas.openxmlformats.org/drawingml/2006/picture">
            <wp:extent cx="4892040" cy="220980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2"/>
                    <a:stretch>
                      <a:fillRect/>
                    </a:stretch>
                  </pic:blipFill>
                  <pic:spPr>
                    <a:xfrm>
                      <a:off x="0" y="0"/>
                      <a:ext cx="4892040" cy="2209800"/>
                    </a:xfrm>
                    <a:prstGeom prst="rect"/>
                  </pic:spPr>
                </pic:pic>
              </a:graphicData>
            </a:graphic>
          </wp:inline>
        </w:drawing>
      </w:r>
    </w:p>
    <w:p>
      <w:pPr>
        <w:pStyle w:val="Caption"/>
        <w:keepLines/>
        <w:jc w:val="center"/>
      </w:pPr>
      <w:r>
        <w:t>Figure 2. Seed-paired PPO-aware versus PPO-blind comparison: the estimated regime channel does not create a robust Sharpe-like advantage.</w:t>
      </w:r>
    </w:p>
    <w:p>
      <w:r>
        <w:t>The paired-seed view shows that the aware policy does not dominate the blind policy seed by seed. The equity panel even favors the blind policy in the canonical paired test.</w:t>
      </w:r>
    </w:p>
    <w:p/>
    <w:p>
      <w:pPr>
        <w:pStyle w:val="Heading2"/>
      </w:pPr>
      <w:r>
        <w:t>8.2 Five-Variant Ablation</w:t>
      </w:r>
    </w:p>
    <w:tbl>
      <w:tblPr>
        <w:tblStyle w:val="TableGrid"/>
        <w:tblW w:type="dxa" w:w="9360"/>
        <w:tblLook w:firstColumn="1" w:firstRow="1" w:lastColumn="0" w:lastRow="0" w:noHBand="0" w:noVBand="1" w:val="04A0"/>
        <w:tblInd w:w="120" w:type="dxa"/>
        <w:tblLayout w:type="fixed"/>
      </w:tblPr>
      <w:tblGrid>
        <w:gridCol w:w="1800"/>
        <w:gridCol w:w="3000"/>
        <w:gridCol w:w="1500"/>
        <w:gridCol w:w="1500"/>
        <w:gridCol w:w="1560"/>
      </w:tblGrid>
      <w:tr>
        <w:tc>
          <w:tcPr>
            <w:tcW w:type="dxa" w:w="1800"/>
            <w:shd w:fill="F2F4F7"/>
            <w:vAlign w:val="center"/>
            <w:tcMar>
              <w:top w:w="80" w:type="dxa"/>
              <w:start w:w="120" w:type="dxa"/>
              <w:bottom w:w="80" w:type="dxa"/>
              <w:end w:w="120" w:type="dxa"/>
            </w:tcMar>
          </w:tcPr>
          <w:p>
            <w:r>
              <w:rPr>
                <w:b/>
                <w:sz w:val="18"/>
              </w:rPr>
              <w:t>Variant</w:t>
            </w:r>
          </w:p>
        </w:tc>
        <w:tc>
          <w:tcPr>
            <w:tcW w:type="dxa" w:w="3000"/>
            <w:shd w:fill="F2F4F7"/>
            <w:vAlign w:val="center"/>
            <w:tcMar>
              <w:top w:w="80" w:type="dxa"/>
              <w:start w:w="120" w:type="dxa"/>
              <w:bottom w:w="80" w:type="dxa"/>
              <w:end w:w="120" w:type="dxa"/>
            </w:tcMar>
          </w:tcPr>
          <w:p>
            <w:r>
              <w:rPr>
                <w:b/>
                <w:sz w:val="18"/>
              </w:rPr>
              <w:t>Observation meaning</w:t>
            </w:r>
          </w:p>
        </w:tc>
        <w:tc>
          <w:tcPr>
            <w:tcW w:type="dxa" w:w="1500"/>
            <w:shd w:fill="F2F4F7"/>
            <w:vAlign w:val="center"/>
            <w:tcMar>
              <w:top w:w="80" w:type="dxa"/>
              <w:start w:w="120" w:type="dxa"/>
              <w:bottom w:w="80" w:type="dxa"/>
              <w:end w:w="120" w:type="dxa"/>
            </w:tcMar>
          </w:tcPr>
          <w:p>
            <w:r>
              <w:rPr>
                <w:b/>
                <w:sz w:val="18"/>
              </w:rPr>
              <w:t>Mean Sharpe-like</w:t>
            </w:r>
          </w:p>
        </w:tc>
        <w:tc>
          <w:tcPr>
            <w:tcW w:type="dxa" w:w="1500"/>
            <w:shd w:fill="F2F4F7"/>
            <w:vAlign w:val="center"/>
            <w:tcMar>
              <w:top w:w="80" w:type="dxa"/>
              <w:start w:w="120" w:type="dxa"/>
              <w:bottom w:w="80" w:type="dxa"/>
              <w:end w:w="120" w:type="dxa"/>
            </w:tcMar>
          </w:tcPr>
          <w:p>
            <w:r>
              <w:rPr>
                <w:b/>
                <w:sz w:val="18"/>
              </w:rPr>
              <w:t>Mean final equity</w:t>
            </w:r>
          </w:p>
        </w:tc>
        <w:tc>
          <w:tcPr>
            <w:tcW w:type="dxa" w:w="1560"/>
            <w:shd w:fill="F2F4F7"/>
            <w:vAlign w:val="center"/>
            <w:tcMar>
              <w:top w:w="80" w:type="dxa"/>
              <w:start w:w="120" w:type="dxa"/>
              <w:bottom w:w="80" w:type="dxa"/>
              <w:end w:w="120" w:type="dxa"/>
            </w:tcMar>
          </w:tcPr>
          <w:p>
            <w:r>
              <w:rPr>
                <w:b/>
                <w:sz w:val="18"/>
              </w:rPr>
              <w:t>Mean inv_p99</w:t>
            </w:r>
          </w:p>
        </w:tc>
      </w:tr>
      <w:tr>
        <w:tc>
          <w:tcPr>
            <w:tcW w:type="dxa" w:w="1800"/>
            <w:vAlign w:val="center"/>
            <w:tcMar>
              <w:top w:w="80" w:type="dxa"/>
              <w:start w:w="120" w:type="dxa"/>
              <w:bottom w:w="80" w:type="dxa"/>
              <w:end w:w="120" w:type="dxa"/>
            </w:tcMar>
          </w:tcPr>
          <w:p>
            <w:r>
              <w:rPr>
                <w:sz w:val="18"/>
              </w:rPr>
              <w:t>ppo_sigma_only</w:t>
            </w:r>
          </w:p>
        </w:tc>
        <w:tc>
          <w:tcPr>
            <w:tcW w:type="dxa" w:w="3000"/>
            <w:vAlign w:val="center"/>
            <w:tcMar>
              <w:top w:w="80" w:type="dxa"/>
              <w:start w:w="120" w:type="dxa"/>
              <w:bottom w:w="80" w:type="dxa"/>
              <w:end w:w="120" w:type="dxa"/>
            </w:tcMar>
          </w:tcPr>
          <w:p>
            <w:r>
              <w:rPr>
                <w:sz w:val="18"/>
              </w:rPr>
              <w:t>continuous sigma_hat only</w:t>
            </w:r>
          </w:p>
        </w:tc>
        <w:tc>
          <w:tcPr>
            <w:tcW w:type="dxa" w:w="1500"/>
            <w:vAlign w:val="center"/>
            <w:tcMar>
              <w:top w:w="80" w:type="dxa"/>
              <w:start w:w="120" w:type="dxa"/>
              <w:bottom w:w="80" w:type="dxa"/>
              <w:end w:w="120" w:type="dxa"/>
            </w:tcMar>
          </w:tcPr>
          <w:p>
            <w:r>
              <w:rPr>
                <w:sz w:val="18"/>
              </w:rPr>
              <w:t>0.752987</w:t>
            </w:r>
          </w:p>
        </w:tc>
        <w:tc>
          <w:tcPr>
            <w:tcW w:type="dxa" w:w="1500"/>
            <w:vAlign w:val="center"/>
            <w:tcMar>
              <w:top w:w="80" w:type="dxa"/>
              <w:start w:w="120" w:type="dxa"/>
              <w:bottom w:w="80" w:type="dxa"/>
              <w:end w:w="120" w:type="dxa"/>
            </w:tcMar>
          </w:tcPr>
          <w:p>
            <w:r>
              <w:rPr>
                <w:sz w:val="18"/>
              </w:rPr>
              <w:t>4.547923</w:t>
            </w:r>
          </w:p>
        </w:tc>
        <w:tc>
          <w:tcPr>
            <w:tcW w:type="dxa" w:w="1560"/>
            <w:vAlign w:val="center"/>
            <w:tcMar>
              <w:top w:w="80" w:type="dxa"/>
              <w:start w:w="120" w:type="dxa"/>
              <w:bottom w:w="80" w:type="dxa"/>
              <w:end w:w="120" w:type="dxa"/>
            </w:tcMar>
          </w:tcPr>
          <w:p>
            <w:r>
              <w:rPr>
                <w:sz w:val="18"/>
              </w:rPr>
              <w:t>1.950000</w:t>
            </w:r>
          </w:p>
        </w:tc>
      </w:tr>
      <w:tr>
        <w:tc>
          <w:tcPr>
            <w:tcW w:type="dxa" w:w="1800"/>
            <w:vAlign w:val="center"/>
            <w:tcMar>
              <w:top w:w="80" w:type="dxa"/>
              <w:start w:w="120" w:type="dxa"/>
              <w:bottom w:w="80" w:type="dxa"/>
              <w:end w:w="120" w:type="dxa"/>
            </w:tcMar>
          </w:tcPr>
          <w:p>
            <w:r>
              <w:rPr>
                <w:sz w:val="18"/>
              </w:rPr>
              <w:t>ppo_oracle_full</w:t>
            </w:r>
          </w:p>
        </w:tc>
        <w:tc>
          <w:tcPr>
            <w:tcW w:type="dxa" w:w="3000"/>
            <w:vAlign w:val="center"/>
            <w:tcMar>
              <w:top w:w="80" w:type="dxa"/>
              <w:start w:w="120" w:type="dxa"/>
              <w:bottom w:w="80" w:type="dxa"/>
              <w:end w:w="120" w:type="dxa"/>
            </w:tcMar>
          </w:tcPr>
          <w:p>
            <w:r>
              <w:rPr>
                <w:sz w:val="18"/>
              </w:rPr>
              <w:t>sigma_hat + true regime one-hot</w:t>
            </w:r>
          </w:p>
        </w:tc>
        <w:tc>
          <w:tcPr>
            <w:tcW w:type="dxa" w:w="1500"/>
            <w:vAlign w:val="center"/>
            <w:tcMar>
              <w:top w:w="80" w:type="dxa"/>
              <w:start w:w="120" w:type="dxa"/>
              <w:bottom w:w="80" w:type="dxa"/>
              <w:end w:w="120" w:type="dxa"/>
            </w:tcMar>
          </w:tcPr>
          <w:p>
            <w:r>
              <w:rPr>
                <w:sz w:val="18"/>
              </w:rPr>
              <w:t>0.722443</w:t>
            </w:r>
          </w:p>
        </w:tc>
        <w:tc>
          <w:tcPr>
            <w:tcW w:type="dxa" w:w="1500"/>
            <w:vAlign w:val="center"/>
            <w:tcMar>
              <w:top w:w="80" w:type="dxa"/>
              <w:start w:w="120" w:type="dxa"/>
              <w:bottom w:w="80" w:type="dxa"/>
              <w:end w:w="120" w:type="dxa"/>
            </w:tcMar>
          </w:tcPr>
          <w:p>
            <w:r>
              <w:rPr>
                <w:sz w:val="18"/>
              </w:rPr>
              <w:t>4.067945</w:t>
            </w:r>
          </w:p>
        </w:tc>
        <w:tc>
          <w:tcPr>
            <w:tcW w:type="dxa" w:w="1560"/>
            <w:vAlign w:val="center"/>
            <w:tcMar>
              <w:top w:w="80" w:type="dxa"/>
              <w:start w:w="120" w:type="dxa"/>
              <w:bottom w:w="80" w:type="dxa"/>
              <w:end w:w="120" w:type="dxa"/>
            </w:tcMar>
          </w:tcPr>
          <w:p>
            <w:r>
              <w:rPr>
                <w:sz w:val="18"/>
              </w:rPr>
              <w:t>2.050000</w:t>
            </w:r>
          </w:p>
        </w:tc>
      </w:tr>
      <w:tr>
        <w:tc>
          <w:tcPr>
            <w:tcW w:type="dxa" w:w="1800"/>
            <w:vAlign w:val="center"/>
            <w:tcMar>
              <w:top w:w="80" w:type="dxa"/>
              <w:start w:w="120" w:type="dxa"/>
              <w:bottom w:w="80" w:type="dxa"/>
              <w:end w:w="120" w:type="dxa"/>
            </w:tcMar>
          </w:tcPr>
          <w:p>
            <w:r>
              <w:rPr>
                <w:sz w:val="18"/>
              </w:rPr>
              <w:t>ppo_regime_only</w:t>
            </w:r>
          </w:p>
        </w:tc>
        <w:tc>
          <w:tcPr>
            <w:tcW w:type="dxa" w:w="3000"/>
            <w:vAlign w:val="center"/>
            <w:tcMar>
              <w:top w:w="80" w:type="dxa"/>
              <w:start w:w="120" w:type="dxa"/>
              <w:bottom w:w="80" w:type="dxa"/>
              <w:end w:w="120" w:type="dxa"/>
            </w:tcMar>
          </w:tcPr>
          <w:p>
            <w:r>
              <w:rPr>
                <w:sz w:val="18"/>
              </w:rPr>
              <w:t>estimated regime one-hot only</w:t>
            </w:r>
          </w:p>
        </w:tc>
        <w:tc>
          <w:tcPr>
            <w:tcW w:type="dxa" w:w="1500"/>
            <w:vAlign w:val="center"/>
            <w:tcMar>
              <w:top w:w="80" w:type="dxa"/>
              <w:start w:w="120" w:type="dxa"/>
              <w:bottom w:w="80" w:type="dxa"/>
              <w:end w:w="120" w:type="dxa"/>
            </w:tcMar>
          </w:tcPr>
          <w:p>
            <w:r>
              <w:rPr>
                <w:sz w:val="18"/>
              </w:rPr>
              <w:t>0.697552</w:t>
            </w:r>
          </w:p>
        </w:tc>
        <w:tc>
          <w:tcPr>
            <w:tcW w:type="dxa" w:w="1500"/>
            <w:vAlign w:val="center"/>
            <w:tcMar>
              <w:top w:w="80" w:type="dxa"/>
              <w:start w:w="120" w:type="dxa"/>
              <w:bottom w:w="80" w:type="dxa"/>
              <w:end w:w="120" w:type="dxa"/>
            </w:tcMar>
          </w:tcPr>
          <w:p>
            <w:r>
              <w:rPr>
                <w:sz w:val="18"/>
              </w:rPr>
              <w:t>4.005379</w:t>
            </w:r>
          </w:p>
        </w:tc>
        <w:tc>
          <w:tcPr>
            <w:tcW w:type="dxa" w:w="1560"/>
            <w:vAlign w:val="center"/>
            <w:tcMar>
              <w:top w:w="80" w:type="dxa"/>
              <w:start w:w="120" w:type="dxa"/>
              <w:bottom w:w="80" w:type="dxa"/>
              <w:end w:w="120" w:type="dxa"/>
            </w:tcMar>
          </w:tcPr>
          <w:p>
            <w:r>
              <w:rPr>
                <w:sz w:val="18"/>
              </w:rPr>
              <w:t>2.150000</w:t>
            </w:r>
          </w:p>
        </w:tc>
      </w:tr>
      <w:tr>
        <w:tc>
          <w:tcPr>
            <w:tcW w:type="dxa" w:w="1800"/>
            <w:vAlign w:val="center"/>
            <w:tcMar>
              <w:top w:w="80" w:type="dxa"/>
              <w:start w:w="120" w:type="dxa"/>
              <w:bottom w:w="80" w:type="dxa"/>
              <w:end w:w="120" w:type="dxa"/>
            </w:tcMar>
          </w:tcPr>
          <w:p>
            <w:r>
              <w:rPr>
                <w:sz w:val="18"/>
              </w:rPr>
              <w:t>ppo_combined</w:t>
            </w:r>
          </w:p>
        </w:tc>
        <w:tc>
          <w:tcPr>
            <w:tcW w:type="dxa" w:w="3000"/>
            <w:vAlign w:val="center"/>
            <w:tcMar>
              <w:top w:w="80" w:type="dxa"/>
              <w:start w:w="120" w:type="dxa"/>
              <w:bottom w:w="80" w:type="dxa"/>
              <w:end w:w="120" w:type="dxa"/>
            </w:tcMar>
          </w:tcPr>
          <w:p>
            <w:r>
              <w:rPr>
                <w:sz w:val="18"/>
              </w:rPr>
              <w:t>sigma_hat + estimated regime one-hot</w:t>
            </w:r>
          </w:p>
        </w:tc>
        <w:tc>
          <w:tcPr>
            <w:tcW w:type="dxa" w:w="1500"/>
            <w:vAlign w:val="center"/>
            <w:tcMar>
              <w:top w:w="80" w:type="dxa"/>
              <w:start w:w="120" w:type="dxa"/>
              <w:bottom w:w="80" w:type="dxa"/>
              <w:end w:w="120" w:type="dxa"/>
            </w:tcMar>
          </w:tcPr>
          <w:p>
            <w:r>
              <w:rPr>
                <w:sz w:val="18"/>
              </w:rPr>
              <w:t>0.696182</w:t>
            </w:r>
          </w:p>
        </w:tc>
        <w:tc>
          <w:tcPr>
            <w:tcW w:type="dxa" w:w="1500"/>
            <w:vAlign w:val="center"/>
            <w:tcMar>
              <w:top w:w="80" w:type="dxa"/>
              <w:start w:w="120" w:type="dxa"/>
              <w:bottom w:w="80" w:type="dxa"/>
              <w:end w:w="120" w:type="dxa"/>
            </w:tcMar>
          </w:tcPr>
          <w:p>
            <w:r>
              <w:rPr>
                <w:sz w:val="18"/>
              </w:rPr>
              <w:t>3.905214</w:t>
            </w:r>
          </w:p>
        </w:tc>
        <w:tc>
          <w:tcPr>
            <w:tcW w:type="dxa" w:w="1560"/>
            <w:vAlign w:val="center"/>
            <w:tcMar>
              <w:top w:w="80" w:type="dxa"/>
              <w:start w:w="120" w:type="dxa"/>
              <w:bottom w:w="80" w:type="dxa"/>
              <w:end w:w="120" w:type="dxa"/>
            </w:tcMar>
          </w:tcPr>
          <w:p>
            <w:r>
              <w:rPr>
                <w:sz w:val="18"/>
              </w:rPr>
              <w:t>1.800000</w:t>
            </w:r>
          </w:p>
        </w:tc>
      </w:tr>
      <w:tr>
        <w:tc>
          <w:tcPr>
            <w:tcW w:type="dxa" w:w="1800"/>
            <w:vAlign w:val="center"/>
            <w:tcMar>
              <w:top w:w="80" w:type="dxa"/>
              <w:start w:w="120" w:type="dxa"/>
              <w:bottom w:w="80" w:type="dxa"/>
              <w:end w:w="120" w:type="dxa"/>
            </w:tcMar>
          </w:tcPr>
          <w:p>
            <w:r>
              <w:rPr>
                <w:sz w:val="18"/>
              </w:rPr>
              <w:t>ppo_oracle_pure</w:t>
            </w:r>
          </w:p>
        </w:tc>
        <w:tc>
          <w:tcPr>
            <w:tcW w:type="dxa" w:w="3000"/>
            <w:vAlign w:val="center"/>
            <w:tcMar>
              <w:top w:w="80" w:type="dxa"/>
              <w:start w:w="120" w:type="dxa"/>
              <w:bottom w:w="80" w:type="dxa"/>
              <w:end w:w="120" w:type="dxa"/>
            </w:tcMar>
          </w:tcPr>
          <w:p>
            <w:r>
              <w:rPr>
                <w:sz w:val="18"/>
              </w:rPr>
              <w:t>true regime one-hot only</w:t>
            </w:r>
          </w:p>
        </w:tc>
        <w:tc>
          <w:tcPr>
            <w:tcW w:type="dxa" w:w="1500"/>
            <w:vAlign w:val="center"/>
            <w:tcMar>
              <w:top w:w="80" w:type="dxa"/>
              <w:start w:w="120" w:type="dxa"/>
              <w:bottom w:w="80" w:type="dxa"/>
              <w:end w:w="120" w:type="dxa"/>
            </w:tcMar>
          </w:tcPr>
          <w:p>
            <w:r>
              <w:rPr>
                <w:sz w:val="18"/>
              </w:rPr>
              <w:t>0.683829</w:t>
            </w:r>
          </w:p>
        </w:tc>
        <w:tc>
          <w:tcPr>
            <w:tcW w:type="dxa" w:w="1500"/>
            <w:vAlign w:val="center"/>
            <w:tcMar>
              <w:top w:w="80" w:type="dxa"/>
              <w:start w:w="120" w:type="dxa"/>
              <w:bottom w:w="80" w:type="dxa"/>
              <w:end w:w="120" w:type="dxa"/>
            </w:tcMar>
          </w:tcPr>
          <w:p>
            <w:r>
              <w:rPr>
                <w:sz w:val="18"/>
              </w:rPr>
              <w:t>3.925499</w:t>
            </w:r>
          </w:p>
        </w:tc>
        <w:tc>
          <w:tcPr>
            <w:tcW w:type="dxa" w:w="1560"/>
            <w:vAlign w:val="center"/>
            <w:tcMar>
              <w:top w:w="80" w:type="dxa"/>
              <w:start w:w="120" w:type="dxa"/>
              <w:bottom w:w="80" w:type="dxa"/>
              <w:end w:w="120" w:type="dxa"/>
            </w:tcMar>
          </w:tcPr>
          <w:p>
            <w:r>
              <w:rPr>
                <w:sz w:val="18"/>
              </w:rPr>
              <w:t>1.950000</w:t>
            </w:r>
          </w:p>
        </w:tc>
      </w:tr>
    </w:tbl>
    <w:p/>
    <w:p>
      <w:r>
        <w:t>The strongest ablation result is that sigma_only has the highest mean Sharpe-like value, while oracle_full does not significantly beat it. TOST supports practical equivalence under the +/-0.10 Sharpe-like bound.</w:t>
      </w:r>
    </w:p>
    <w:p>
      <w:pPr>
        <w:keepNext/>
        <w:keepLines/>
        <w:jc w:val="center"/>
      </w:pPr>
      <w:r>
        <w:drawing>
          <wp:inline xmlns:a="http://schemas.openxmlformats.org/drawingml/2006/main" xmlns:pic="http://schemas.openxmlformats.org/drawingml/2006/picture">
            <wp:extent cx="4754880" cy="147923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3"/>
                    <a:stretch>
                      <a:fillRect/>
                    </a:stretch>
                  </pic:blipFill>
                  <pic:spPr>
                    <a:xfrm>
                      <a:off x="0" y="0"/>
                      <a:ext cx="4754880" cy="1479237"/>
                    </a:xfrm>
                    <a:prstGeom prst="rect"/>
                  </pic:spPr>
                </pic:pic>
              </a:graphicData>
            </a:graphic>
          </wp:inline>
        </w:drawing>
      </w:r>
    </w:p>
    <w:p>
      <w:pPr>
        <w:pStyle w:val="Caption"/>
        <w:keepLines/>
        <w:jc w:val="center"/>
      </w:pPr>
      <w:r>
        <w:t>Figure 3. Five-variant ablation summary: sigma_only is the strongest mean Sharpe-like variant, and adding categorical labels does not improve it.</w:t>
      </w:r>
    </w:p>
    <w:p>
      <w:pPr>
        <w:keepNext/>
        <w:keepLines/>
        <w:jc w:val="center"/>
      </w:pPr>
      <w:r>
        <w:drawing>
          <wp:inline xmlns:a="http://schemas.openxmlformats.org/drawingml/2006/main" xmlns:pic="http://schemas.openxmlformats.org/drawingml/2006/picture">
            <wp:extent cx="4754880" cy="2271533"/>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4"/>
                    <a:stretch>
                      <a:fillRect/>
                    </a:stretch>
                  </pic:blipFill>
                  <pic:spPr>
                    <a:xfrm>
                      <a:off x="0" y="0"/>
                      <a:ext cx="4754880" cy="2271533"/>
                    </a:xfrm>
                    <a:prstGeom prst="rect"/>
                  </pic:spPr>
                </pic:pic>
              </a:graphicData>
            </a:graphic>
          </wp:inline>
        </w:drawing>
      </w:r>
    </w:p>
    <w:p>
      <w:pPr>
        <w:pStyle w:val="Caption"/>
        <w:keepLines/>
        <w:jc w:val="center"/>
      </w:pPr>
      <w:r>
        <w:t>Figure 4. Oracle-label paired-seed comparison: even true regime labels do not reliably improve on sigma_hat alone.</w:t>
      </w:r>
    </w:p>
    <w:p>
      <w:r>
        <w:br w:type="page"/>
      </w:r>
    </w:p>
    <w:p>
      <w:r>
        <w:t>The compact statistical summary below collects the canonical paired tests used to interpret the ablation and robustness results.</w:t>
      </w:r>
    </w:p>
    <w:tbl>
      <w:tblPr>
        <w:tblStyle w:val="TableGrid"/>
        <w:tblW w:type="dxa" w:w="9360"/>
        <w:tblLook w:firstColumn="1" w:firstRow="1" w:lastColumn="0" w:lastRow="0" w:noHBand="0" w:noVBand="1" w:val="04A0"/>
        <w:tblInd w:w="120" w:type="dxa"/>
        <w:tblLayout w:type="fixed"/>
      </w:tblPr>
      <w:tblGrid>
        <w:gridCol w:w="2400"/>
        <w:gridCol w:w="2100"/>
        <w:gridCol w:w="2300"/>
        <w:gridCol w:w="2560"/>
      </w:tblGrid>
      <w:tr>
        <w:tc>
          <w:tcPr>
            <w:tcW w:type="dxa" w:w="2400"/>
            <w:shd w:fill="F2F4F7"/>
            <w:vAlign w:val="center"/>
            <w:tcMar>
              <w:top w:w="80" w:type="dxa"/>
              <w:start w:w="120" w:type="dxa"/>
              <w:bottom w:w="80" w:type="dxa"/>
              <w:end w:w="120" w:type="dxa"/>
            </w:tcMar>
          </w:tcPr>
          <w:p>
            <w:r>
              <w:rPr>
                <w:b/>
                <w:sz w:val="18"/>
              </w:rPr>
              <w:t>Comparison</w:t>
            </w:r>
          </w:p>
        </w:tc>
        <w:tc>
          <w:tcPr>
            <w:tcW w:type="dxa" w:w="2100"/>
            <w:shd w:fill="F2F4F7"/>
            <w:vAlign w:val="center"/>
            <w:tcMar>
              <w:top w:w="80" w:type="dxa"/>
              <w:start w:w="120" w:type="dxa"/>
              <w:bottom w:w="80" w:type="dxa"/>
              <w:end w:w="120" w:type="dxa"/>
            </w:tcMar>
          </w:tcPr>
          <w:p>
            <w:r>
              <w:rPr>
                <w:b/>
                <w:sz w:val="18"/>
              </w:rPr>
              <w:t>Metric or test</w:t>
            </w:r>
          </w:p>
        </w:tc>
        <w:tc>
          <w:tcPr>
            <w:tcW w:type="dxa" w:w="2300"/>
            <w:shd w:fill="F2F4F7"/>
            <w:vAlign w:val="center"/>
            <w:tcMar>
              <w:top w:w="80" w:type="dxa"/>
              <w:start w:w="120" w:type="dxa"/>
              <w:bottom w:w="80" w:type="dxa"/>
              <w:end w:w="120" w:type="dxa"/>
            </w:tcMar>
          </w:tcPr>
          <w:p>
            <w:r>
              <w:rPr>
                <w:b/>
                <w:sz w:val="18"/>
              </w:rPr>
              <w:t>Canonical result</w:t>
            </w:r>
          </w:p>
        </w:tc>
        <w:tc>
          <w:tcPr>
            <w:tcW w:type="dxa" w:w="2560"/>
            <w:shd w:fill="F2F4F7"/>
            <w:vAlign w:val="center"/>
            <w:tcMar>
              <w:top w:w="80" w:type="dxa"/>
              <w:start w:w="120" w:type="dxa"/>
              <w:bottom w:w="80" w:type="dxa"/>
              <w:end w:w="120" w:type="dxa"/>
            </w:tcMar>
          </w:tcPr>
          <w:p>
            <w:r>
              <w:rPr>
                <w:b/>
                <w:sz w:val="18"/>
              </w:rPr>
              <w:t>Defense-safe reading</w:t>
            </w:r>
          </w:p>
        </w:tc>
      </w:tr>
      <w:tr>
        <w:tc>
          <w:tcPr>
            <w:tcW w:type="dxa" w:w="2400"/>
            <w:vAlign w:val="center"/>
            <w:tcMar>
              <w:top w:w="80" w:type="dxa"/>
              <w:start w:w="120" w:type="dxa"/>
              <w:bottom w:w="80" w:type="dxa"/>
              <w:end w:w="120" w:type="dxa"/>
            </w:tcMar>
          </w:tcPr>
          <w:p>
            <w:r>
              <w:rPr>
                <w:sz w:val="18"/>
              </w:rPr>
              <w:t>PPO-aware vs PPO-blind</w:t>
            </w:r>
          </w:p>
        </w:tc>
        <w:tc>
          <w:tcPr>
            <w:tcW w:type="dxa" w:w="2100"/>
            <w:vAlign w:val="center"/>
            <w:tcMar>
              <w:top w:w="80" w:type="dxa"/>
              <w:start w:w="120" w:type="dxa"/>
              <w:bottom w:w="80" w:type="dxa"/>
              <w:end w:w="120" w:type="dxa"/>
            </w:tcMar>
          </w:tcPr>
          <w:p>
            <w:r>
              <w:rPr>
                <w:sz w:val="18"/>
              </w:rPr>
              <w:t>Sharpe-like paired t-test</w:t>
            </w:r>
          </w:p>
        </w:tc>
        <w:tc>
          <w:tcPr>
            <w:tcW w:type="dxa" w:w="2300"/>
            <w:vAlign w:val="center"/>
            <w:tcMar>
              <w:top w:w="80" w:type="dxa"/>
              <w:start w:w="120" w:type="dxa"/>
              <w:bottom w:w="80" w:type="dxa"/>
              <w:end w:w="120" w:type="dxa"/>
            </w:tcMar>
          </w:tcPr>
          <w:p>
            <w:r>
              <w:rPr>
                <w:sz w:val="18"/>
              </w:rPr>
              <w:t>p = 0.261</w:t>
            </w:r>
          </w:p>
        </w:tc>
        <w:tc>
          <w:tcPr>
            <w:tcW w:type="dxa" w:w="2560"/>
            <w:vAlign w:val="center"/>
            <w:tcMar>
              <w:top w:w="80" w:type="dxa"/>
              <w:start w:w="120" w:type="dxa"/>
              <w:bottom w:w="80" w:type="dxa"/>
              <w:end w:w="120" w:type="dxa"/>
            </w:tcMar>
          </w:tcPr>
          <w:p>
            <w:r>
              <w:rPr>
                <w:sz w:val="18"/>
              </w:rPr>
              <w:t>No significant Sharpe improvement.</w:t>
            </w:r>
          </w:p>
        </w:tc>
      </w:tr>
      <w:tr>
        <w:tc>
          <w:tcPr>
            <w:tcW w:type="dxa" w:w="2400"/>
            <w:vAlign w:val="center"/>
            <w:tcMar>
              <w:top w:w="80" w:type="dxa"/>
              <w:start w:w="120" w:type="dxa"/>
              <w:bottom w:w="80" w:type="dxa"/>
              <w:end w:w="120" w:type="dxa"/>
            </w:tcMar>
          </w:tcPr>
          <w:p>
            <w:r>
              <w:rPr>
                <w:sz w:val="18"/>
              </w:rPr>
              <w:t>PPO-aware vs PPO-blind</w:t>
            </w:r>
          </w:p>
        </w:tc>
        <w:tc>
          <w:tcPr>
            <w:tcW w:type="dxa" w:w="2100"/>
            <w:vAlign w:val="center"/>
            <w:tcMar>
              <w:top w:w="80" w:type="dxa"/>
              <w:start w:w="120" w:type="dxa"/>
              <w:bottom w:w="80" w:type="dxa"/>
              <w:end w:w="120" w:type="dxa"/>
            </w:tcMar>
          </w:tcPr>
          <w:p>
            <w:r>
              <w:rPr>
                <w:sz w:val="18"/>
              </w:rPr>
              <w:t>Final equity paired t-test</w:t>
            </w:r>
          </w:p>
        </w:tc>
        <w:tc>
          <w:tcPr>
            <w:tcW w:type="dxa" w:w="2300"/>
            <w:vAlign w:val="center"/>
            <w:tcMar>
              <w:top w:w="80" w:type="dxa"/>
              <w:start w:w="120" w:type="dxa"/>
              <w:bottom w:w="80" w:type="dxa"/>
              <w:end w:w="120" w:type="dxa"/>
            </w:tcMar>
          </w:tcPr>
          <w:p>
            <w:r>
              <w:rPr>
                <w:sz w:val="18"/>
              </w:rPr>
              <w:t>p = 0.023</w:t>
            </w:r>
          </w:p>
        </w:tc>
        <w:tc>
          <w:tcPr>
            <w:tcW w:type="dxa" w:w="2560"/>
            <w:vAlign w:val="center"/>
            <w:tcMar>
              <w:top w:w="80" w:type="dxa"/>
              <w:start w:w="120" w:type="dxa"/>
              <w:bottom w:w="80" w:type="dxa"/>
              <w:end w:w="120" w:type="dxa"/>
            </w:tcMar>
          </w:tcPr>
          <w:p>
            <w:r>
              <w:rPr>
                <w:sz w:val="18"/>
              </w:rPr>
              <w:t>Favors PPO-blind.</w:t>
            </w:r>
          </w:p>
        </w:tc>
      </w:tr>
      <w:tr>
        <w:tc>
          <w:tcPr>
            <w:tcW w:type="dxa" w:w="2400"/>
            <w:vAlign w:val="center"/>
            <w:tcMar>
              <w:top w:w="80" w:type="dxa"/>
              <w:start w:w="120" w:type="dxa"/>
              <w:bottom w:w="80" w:type="dxa"/>
              <w:end w:w="120" w:type="dxa"/>
            </w:tcMar>
          </w:tcPr>
          <w:p>
            <w:r>
              <w:rPr>
                <w:sz w:val="18"/>
              </w:rPr>
              <w:t>ppo_sigma_only vs ppo_oracle_full</w:t>
            </w:r>
          </w:p>
        </w:tc>
        <w:tc>
          <w:tcPr>
            <w:tcW w:type="dxa" w:w="2100"/>
            <w:vAlign w:val="center"/>
            <w:tcMar>
              <w:top w:w="80" w:type="dxa"/>
              <w:start w:w="120" w:type="dxa"/>
              <w:bottom w:w="80" w:type="dxa"/>
              <w:end w:w="120" w:type="dxa"/>
            </w:tcMar>
          </w:tcPr>
          <w:p>
            <w:r>
              <w:rPr>
                <w:sz w:val="18"/>
              </w:rPr>
              <w:t>Sharpe-like paired t-test</w:t>
            </w:r>
          </w:p>
        </w:tc>
        <w:tc>
          <w:tcPr>
            <w:tcW w:type="dxa" w:w="2300"/>
            <w:vAlign w:val="center"/>
            <w:tcMar>
              <w:top w:w="80" w:type="dxa"/>
              <w:start w:w="120" w:type="dxa"/>
              <w:bottom w:w="80" w:type="dxa"/>
              <w:end w:w="120" w:type="dxa"/>
            </w:tcMar>
          </w:tcPr>
          <w:p>
            <w:r>
              <w:rPr>
                <w:sz w:val="18"/>
              </w:rPr>
              <w:t>p = 0.115</w:t>
            </w:r>
          </w:p>
        </w:tc>
        <w:tc>
          <w:tcPr>
            <w:tcW w:type="dxa" w:w="2560"/>
            <w:vAlign w:val="center"/>
            <w:tcMar>
              <w:top w:w="80" w:type="dxa"/>
              <w:start w:w="120" w:type="dxa"/>
              <w:bottom w:w="80" w:type="dxa"/>
              <w:end w:w="120" w:type="dxa"/>
            </w:tcMar>
          </w:tcPr>
          <w:p>
            <w:r>
              <w:rPr>
                <w:sz w:val="18"/>
              </w:rPr>
              <w:t>No oracle-label Sharpe improvement.</w:t>
            </w:r>
          </w:p>
        </w:tc>
      </w:tr>
      <w:tr>
        <w:tc>
          <w:tcPr>
            <w:tcW w:type="dxa" w:w="2400"/>
            <w:vAlign w:val="center"/>
            <w:tcMar>
              <w:top w:w="80" w:type="dxa"/>
              <w:start w:w="120" w:type="dxa"/>
              <w:bottom w:w="80" w:type="dxa"/>
              <w:end w:w="120" w:type="dxa"/>
            </w:tcMar>
          </w:tcPr>
          <w:p>
            <w:r>
              <w:rPr>
                <w:sz w:val="18"/>
              </w:rPr>
              <w:t>ppo_sigma_only vs ppo_oracle_full</w:t>
            </w:r>
          </w:p>
        </w:tc>
        <w:tc>
          <w:tcPr>
            <w:tcW w:type="dxa" w:w="2100"/>
            <w:vAlign w:val="center"/>
            <w:tcMar>
              <w:top w:w="80" w:type="dxa"/>
              <w:start w:w="120" w:type="dxa"/>
              <w:bottom w:w="80" w:type="dxa"/>
              <w:end w:w="120" w:type="dxa"/>
            </w:tcMar>
          </w:tcPr>
          <w:p>
            <w:r>
              <w:rPr>
                <w:sz w:val="18"/>
              </w:rPr>
              <w:t>TOST +/-0.10</w:t>
            </w:r>
          </w:p>
        </w:tc>
        <w:tc>
          <w:tcPr>
            <w:tcW w:type="dxa" w:w="2300"/>
            <w:vAlign w:val="center"/>
            <w:tcMar>
              <w:top w:w="80" w:type="dxa"/>
              <w:start w:w="120" w:type="dxa"/>
              <w:bottom w:w="80" w:type="dxa"/>
              <w:end w:w="120" w:type="dxa"/>
            </w:tcMar>
          </w:tcPr>
          <w:p>
            <w:r>
              <w:rPr>
                <w:sz w:val="18"/>
              </w:rPr>
              <w:t>p = 0.00067; 90% CI [-0.001, +0.063]</w:t>
            </w:r>
          </w:p>
        </w:tc>
        <w:tc>
          <w:tcPr>
            <w:tcW w:type="dxa" w:w="2560"/>
            <w:vAlign w:val="center"/>
            <w:tcMar>
              <w:top w:w="80" w:type="dxa"/>
              <w:start w:w="120" w:type="dxa"/>
              <w:bottom w:w="80" w:type="dxa"/>
              <w:end w:w="120" w:type="dxa"/>
            </w:tcMar>
          </w:tcPr>
          <w:p>
            <w:r>
              <w:rPr>
                <w:sz w:val="18"/>
              </w:rPr>
              <w:t>Practical equivalence supported.</w:t>
            </w:r>
          </w:p>
        </w:tc>
      </w:tr>
      <w:tr>
        <w:tc>
          <w:tcPr>
            <w:tcW w:type="dxa" w:w="2400"/>
            <w:vAlign w:val="center"/>
            <w:tcMar>
              <w:top w:w="80" w:type="dxa"/>
              <w:start w:w="120" w:type="dxa"/>
              <w:bottom w:w="80" w:type="dxa"/>
              <w:end w:w="120" w:type="dxa"/>
            </w:tcMar>
          </w:tcPr>
          <w:p>
            <w:r>
              <w:rPr>
                <w:sz w:val="18"/>
              </w:rPr>
              <w:t>HMM detector</w:t>
            </w:r>
          </w:p>
        </w:tc>
        <w:tc>
          <w:tcPr>
            <w:tcW w:type="dxa" w:w="2100"/>
            <w:vAlign w:val="center"/>
            <w:tcMar>
              <w:top w:w="80" w:type="dxa"/>
              <w:start w:w="120" w:type="dxa"/>
              <w:bottom w:w="80" w:type="dxa"/>
              <w:end w:w="120" w:type="dxa"/>
            </w:tcMar>
          </w:tcPr>
          <w:p>
            <w:r>
              <w:rPr>
                <w:sz w:val="18"/>
              </w:rPr>
              <w:t>Detector accuracy</w:t>
            </w:r>
          </w:p>
        </w:tc>
        <w:tc>
          <w:tcPr>
            <w:tcW w:type="dxa" w:w="2300"/>
            <w:vAlign w:val="center"/>
            <w:tcMar>
              <w:top w:w="80" w:type="dxa"/>
              <w:start w:w="120" w:type="dxa"/>
              <w:bottom w:w="80" w:type="dxa"/>
              <w:end w:w="120" w:type="dxa"/>
            </w:tcMar>
          </w:tcPr>
          <w:p>
            <w:r>
              <w:rPr>
                <w:sz w:val="18"/>
              </w:rPr>
              <w:t>81.8%</w:t>
            </w:r>
          </w:p>
        </w:tc>
        <w:tc>
          <w:tcPr>
            <w:tcW w:type="dxa" w:w="2560"/>
            <w:vAlign w:val="center"/>
            <w:tcMar>
              <w:top w:w="80" w:type="dxa"/>
              <w:start w:w="120" w:type="dxa"/>
              <w:bottom w:w="80" w:type="dxa"/>
              <w:end w:w="120" w:type="dxa"/>
            </w:tcMar>
          </w:tcPr>
          <w:p>
            <w:r>
              <w:rPr>
                <w:sz w:val="18"/>
              </w:rPr>
              <w:t>Higher accuracy does not create advantage.</w:t>
            </w:r>
          </w:p>
        </w:tc>
      </w:tr>
      <w:tr>
        <w:tc>
          <w:tcPr>
            <w:tcW w:type="dxa" w:w="2400"/>
            <w:vAlign w:val="center"/>
            <w:tcMar>
              <w:top w:w="80" w:type="dxa"/>
              <w:start w:w="120" w:type="dxa"/>
              <w:bottom w:w="80" w:type="dxa"/>
              <w:end w:w="120" w:type="dxa"/>
            </w:tcMar>
          </w:tcPr>
          <w:p>
            <w:r>
              <w:rPr>
                <w:sz w:val="18"/>
              </w:rPr>
              <w:t>Detector robustness</w:t>
            </w:r>
          </w:p>
        </w:tc>
        <w:tc>
          <w:tcPr>
            <w:tcW w:type="dxa" w:w="2100"/>
            <w:vAlign w:val="center"/>
            <w:tcMar>
              <w:top w:w="80" w:type="dxa"/>
              <w:start w:w="120" w:type="dxa"/>
              <w:bottom w:w="80" w:type="dxa"/>
              <w:end w:w="120" w:type="dxa"/>
            </w:tcMar>
          </w:tcPr>
          <w:p>
            <w:r>
              <w:rPr>
                <w:sz w:val="18"/>
              </w:rPr>
              <w:t>ANOVA</w:t>
            </w:r>
          </w:p>
        </w:tc>
        <w:tc>
          <w:tcPr>
            <w:tcW w:type="dxa" w:w="2300"/>
            <w:vAlign w:val="center"/>
            <w:tcMar>
              <w:top w:w="80" w:type="dxa"/>
              <w:start w:w="120" w:type="dxa"/>
              <w:bottom w:w="80" w:type="dxa"/>
              <w:end w:w="120" w:type="dxa"/>
            </w:tcMar>
          </w:tcPr>
          <w:p>
            <w:r>
              <w:rPr>
                <w:sz w:val="18"/>
              </w:rPr>
              <w:t>p = 0.997</w:t>
            </w:r>
          </w:p>
        </w:tc>
        <w:tc>
          <w:tcPr>
            <w:tcW w:type="dxa" w:w="2560"/>
            <w:vAlign w:val="center"/>
            <w:tcMar>
              <w:top w:w="80" w:type="dxa"/>
              <w:start w:w="120" w:type="dxa"/>
              <w:bottom w:w="80" w:type="dxa"/>
              <w:end w:w="120" w:type="dxa"/>
            </w:tcMar>
          </w:tcPr>
          <w:p>
            <w:r>
              <w:rPr>
                <w:sz w:val="18"/>
              </w:rPr>
              <w:t>Detector choice does not explain result.</w:t>
            </w:r>
          </w:p>
        </w:tc>
      </w:tr>
      <w:tr>
        <w:tc>
          <w:tcPr>
            <w:tcW w:type="dxa" w:w="2400"/>
            <w:vAlign w:val="center"/>
            <w:tcMar>
              <w:top w:w="80" w:type="dxa"/>
              <w:start w:w="120" w:type="dxa"/>
              <w:bottom w:w="80" w:type="dxa"/>
              <w:end w:w="120" w:type="dxa"/>
            </w:tcMar>
          </w:tcPr>
          <w:p>
            <w:r>
              <w:rPr>
                <w:sz w:val="18"/>
              </w:rPr>
              <w:t>Regime-conditional eta</w:t>
            </w:r>
          </w:p>
        </w:tc>
        <w:tc>
          <w:tcPr>
            <w:tcW w:type="dxa" w:w="2100"/>
            <w:vAlign w:val="center"/>
            <w:tcMar>
              <w:top w:w="80" w:type="dxa"/>
              <w:start w:w="120" w:type="dxa"/>
              <w:bottom w:w="80" w:type="dxa"/>
              <w:end w:w="120" w:type="dxa"/>
            </w:tcMar>
          </w:tcPr>
          <w:p>
            <w:r>
              <w:rPr>
                <w:sz w:val="18"/>
              </w:rPr>
              <w:t>sigma_only vs combined Sharpe</w:t>
            </w:r>
          </w:p>
        </w:tc>
        <w:tc>
          <w:tcPr>
            <w:tcW w:type="dxa" w:w="2300"/>
            <w:vAlign w:val="center"/>
            <w:tcMar>
              <w:top w:w="80" w:type="dxa"/>
              <w:start w:w="120" w:type="dxa"/>
              <w:bottom w:w="80" w:type="dxa"/>
              <w:end w:w="120" w:type="dxa"/>
            </w:tcMar>
          </w:tcPr>
          <w:p>
            <w:r>
              <w:rPr>
                <w:sz w:val="18"/>
              </w:rPr>
              <w:t>p = 0.0016</w:t>
            </w:r>
          </w:p>
        </w:tc>
        <w:tc>
          <w:tcPr>
            <w:tcW w:type="dxa" w:w="2560"/>
            <w:vAlign w:val="center"/>
            <w:tcMar>
              <w:top w:w="80" w:type="dxa"/>
              <w:start w:w="120" w:type="dxa"/>
              <w:bottom w:w="80" w:type="dxa"/>
              <w:end w:w="120" w:type="dxa"/>
            </w:tcMar>
          </w:tcPr>
          <w:p>
            <w:r>
              <w:rPr>
                <w:sz w:val="18"/>
              </w:rPr>
              <w:t>Favors sigma_only.</w:t>
            </w:r>
          </w:p>
        </w:tc>
      </w:tr>
      <w:tr>
        <w:tc>
          <w:tcPr>
            <w:tcW w:type="dxa" w:w="2400"/>
            <w:vAlign w:val="center"/>
            <w:tcMar>
              <w:top w:w="80" w:type="dxa"/>
              <w:start w:w="120" w:type="dxa"/>
              <w:bottom w:w="80" w:type="dxa"/>
              <w:end w:w="120" w:type="dxa"/>
            </w:tcMar>
          </w:tcPr>
          <w:p>
            <w:r>
              <w:rPr>
                <w:sz w:val="18"/>
              </w:rPr>
              <w:t>Mild misspecification</w:t>
            </w:r>
          </w:p>
        </w:tc>
        <w:tc>
          <w:tcPr>
            <w:tcW w:type="dxa" w:w="2100"/>
            <w:vAlign w:val="center"/>
            <w:tcMar>
              <w:top w:w="80" w:type="dxa"/>
              <w:start w:w="120" w:type="dxa"/>
              <w:bottom w:w="80" w:type="dxa"/>
              <w:end w:w="120" w:type="dxa"/>
            </w:tcMar>
          </w:tcPr>
          <w:p>
            <w:r>
              <w:rPr>
                <w:sz w:val="18"/>
              </w:rPr>
              <w:t>sigma_only vs oracle_full Sharpe t-test</w:t>
            </w:r>
          </w:p>
        </w:tc>
        <w:tc>
          <w:tcPr>
            <w:tcW w:type="dxa" w:w="2300"/>
            <w:vAlign w:val="center"/>
            <w:tcMar>
              <w:top w:w="80" w:type="dxa"/>
              <w:start w:w="120" w:type="dxa"/>
              <w:bottom w:w="80" w:type="dxa"/>
              <w:end w:w="120" w:type="dxa"/>
            </w:tcMar>
          </w:tcPr>
          <w:p>
            <w:r>
              <w:rPr>
                <w:sz w:val="18"/>
              </w:rPr>
              <w:t>p = 0.881</w:t>
            </w:r>
          </w:p>
        </w:tc>
        <w:tc>
          <w:tcPr>
            <w:tcW w:type="dxa" w:w="2560"/>
            <w:vAlign w:val="center"/>
            <w:tcMar>
              <w:top w:w="80" w:type="dxa"/>
              <w:start w:w="120" w:type="dxa"/>
              <w:bottom w:w="80" w:type="dxa"/>
              <w:end w:w="120" w:type="dxa"/>
            </w:tcMar>
          </w:tcPr>
          <w:p>
            <w:r>
              <w:rPr>
                <w:sz w:val="18"/>
              </w:rPr>
              <w:t>No significant Sharpe difference.</w:t>
            </w:r>
          </w:p>
        </w:tc>
      </w:tr>
      <w:tr>
        <w:tc>
          <w:tcPr>
            <w:tcW w:type="dxa" w:w="2400"/>
            <w:vAlign w:val="center"/>
            <w:tcMar>
              <w:top w:w="80" w:type="dxa"/>
              <w:start w:w="120" w:type="dxa"/>
              <w:bottom w:w="80" w:type="dxa"/>
              <w:end w:w="120" w:type="dxa"/>
            </w:tcMar>
          </w:tcPr>
          <w:p>
            <w:r>
              <w:rPr>
                <w:sz w:val="18"/>
              </w:rPr>
              <w:t>Mild misspecification</w:t>
            </w:r>
          </w:p>
        </w:tc>
        <w:tc>
          <w:tcPr>
            <w:tcW w:type="dxa" w:w="2100"/>
            <w:vAlign w:val="center"/>
            <w:tcMar>
              <w:top w:w="80" w:type="dxa"/>
              <w:start w:w="120" w:type="dxa"/>
              <w:bottom w:w="80" w:type="dxa"/>
              <w:end w:w="120" w:type="dxa"/>
            </w:tcMar>
          </w:tcPr>
          <w:p>
            <w:r>
              <w:rPr>
                <w:sz w:val="18"/>
              </w:rPr>
              <w:t>TOST +/-0.05</w:t>
            </w:r>
          </w:p>
        </w:tc>
        <w:tc>
          <w:tcPr>
            <w:tcW w:type="dxa" w:w="2300"/>
            <w:vAlign w:val="center"/>
            <w:tcMar>
              <w:top w:w="80" w:type="dxa"/>
              <w:start w:w="120" w:type="dxa"/>
              <w:bottom w:w="80" w:type="dxa"/>
              <w:end w:w="120" w:type="dxa"/>
            </w:tcMar>
          </w:tcPr>
          <w:p>
            <w:r>
              <w:rPr>
                <w:sz w:val="18"/>
              </w:rPr>
              <w:t>p = 0.042</w:t>
            </w:r>
          </w:p>
        </w:tc>
        <w:tc>
          <w:tcPr>
            <w:tcW w:type="dxa" w:w="2560"/>
            <w:vAlign w:val="center"/>
            <w:tcMar>
              <w:top w:w="80" w:type="dxa"/>
              <w:start w:w="120" w:type="dxa"/>
              <w:bottom w:w="80" w:type="dxa"/>
              <w:end w:w="120" w:type="dxa"/>
            </w:tcMar>
          </w:tcPr>
          <w:p>
            <w:r>
              <w:rPr>
                <w:sz w:val="18"/>
              </w:rPr>
              <w:t>Practical equivalence supported.</w:t>
            </w:r>
          </w:p>
        </w:tc>
      </w:tr>
    </w:tbl>
    <w:p/>
    <w:p>
      <w:r>
        <w:t>The t-test results show no significant Sharpe improvement from explicit regime labels, while the TOST result provides positive evidence of practical equivalence under the stated bound.</w:t>
      </w:r>
    </w:p>
    <w:p>
      <w:pPr>
        <w:pStyle w:val="Heading2"/>
      </w:pPr>
      <w:r>
        <w:t>8.3 Detector Robustness</w:t>
      </w:r>
    </w:p>
    <w:tbl>
      <w:tblPr>
        <w:tblStyle w:val="TableGrid"/>
        <w:tblW w:type="dxa" w:w="9360"/>
        <w:tblLook w:firstColumn="1" w:firstRow="1" w:lastColumn="0" w:lastRow="0" w:noHBand="0" w:noVBand="1" w:val="04A0"/>
        <w:tblInd w:w="120" w:type="dxa"/>
        <w:tblLayout w:type="fixed"/>
      </w:tblPr>
      <w:tblGrid>
        <w:gridCol w:w="1900"/>
        <w:gridCol w:w="4800"/>
        <w:gridCol w:w="2660"/>
      </w:tblGrid>
      <w:tr>
        <w:tc>
          <w:tcPr>
            <w:tcW w:type="dxa" w:w="1900"/>
            <w:shd w:fill="F2F4F7"/>
            <w:vAlign w:val="center"/>
            <w:tcMar>
              <w:top w:w="80" w:type="dxa"/>
              <w:start w:w="120" w:type="dxa"/>
              <w:bottom w:w="80" w:type="dxa"/>
              <w:end w:w="120" w:type="dxa"/>
            </w:tcMar>
          </w:tcPr>
          <w:p>
            <w:r>
              <w:rPr>
                <w:b/>
                <w:sz w:val="18"/>
              </w:rPr>
              <w:t>Detector</w:t>
            </w:r>
          </w:p>
        </w:tc>
        <w:tc>
          <w:tcPr>
            <w:tcW w:type="dxa" w:w="4800"/>
            <w:shd w:fill="F2F4F7"/>
            <w:vAlign w:val="center"/>
            <w:tcMar>
              <w:top w:w="80" w:type="dxa"/>
              <w:start w:w="120" w:type="dxa"/>
              <w:bottom w:w="80" w:type="dxa"/>
              <w:end w:w="120" w:type="dxa"/>
            </w:tcMar>
          </w:tcPr>
          <w:p>
            <w:r>
              <w:rPr>
                <w:b/>
                <w:sz w:val="18"/>
              </w:rPr>
              <w:t>Aware vs blind conclusion</w:t>
            </w:r>
          </w:p>
        </w:tc>
        <w:tc>
          <w:tcPr>
            <w:tcW w:type="dxa" w:w="2660"/>
            <w:shd w:fill="F2F4F7"/>
            <w:vAlign w:val="center"/>
            <w:tcMar>
              <w:top w:w="80" w:type="dxa"/>
              <w:start w:w="120" w:type="dxa"/>
              <w:bottom w:w="80" w:type="dxa"/>
              <w:end w:w="120" w:type="dxa"/>
            </w:tcMar>
          </w:tcPr>
          <w:p>
            <w:r>
              <w:rPr>
                <w:b/>
                <w:sz w:val="18"/>
              </w:rPr>
              <w:t>Key statistic</w:t>
            </w:r>
          </w:p>
        </w:tc>
      </w:tr>
      <w:tr>
        <w:tc>
          <w:tcPr>
            <w:tcW w:type="dxa" w:w="1900"/>
            <w:vAlign w:val="center"/>
            <w:tcMar>
              <w:top w:w="80" w:type="dxa"/>
              <w:start w:w="120" w:type="dxa"/>
              <w:bottom w:w="80" w:type="dxa"/>
              <w:end w:w="120" w:type="dxa"/>
            </w:tcMar>
          </w:tcPr>
          <w:p>
            <w:r>
              <w:rPr>
                <w:sz w:val="18"/>
              </w:rPr>
              <w:t>rv_baseline</w:t>
            </w:r>
          </w:p>
        </w:tc>
        <w:tc>
          <w:tcPr>
            <w:tcW w:type="dxa" w:w="4800"/>
            <w:vAlign w:val="center"/>
            <w:tcMar>
              <w:top w:w="80" w:type="dxa"/>
              <w:start w:w="120" w:type="dxa"/>
              <w:bottom w:w="80" w:type="dxa"/>
              <w:end w:w="120" w:type="dxa"/>
            </w:tcMar>
          </w:tcPr>
          <w:p>
            <w:r>
              <w:rPr>
                <w:sz w:val="18"/>
              </w:rPr>
              <w:t>No reliable aware Sharpe advantage</w:t>
            </w:r>
          </w:p>
        </w:tc>
        <w:tc>
          <w:tcPr>
            <w:tcW w:type="dxa" w:w="2660"/>
            <w:vAlign w:val="center"/>
            <w:tcMar>
              <w:top w:w="80" w:type="dxa"/>
              <w:start w:w="120" w:type="dxa"/>
              <w:bottom w:w="80" w:type="dxa"/>
              <w:end w:w="120" w:type="dxa"/>
            </w:tcMar>
          </w:tcPr>
          <w:p>
            <w:r>
              <w:rPr>
                <w:sz w:val="18"/>
              </w:rPr>
              <w:t>p = 0.1142</w:t>
            </w:r>
          </w:p>
        </w:tc>
      </w:tr>
      <w:tr>
        <w:tc>
          <w:tcPr>
            <w:tcW w:type="dxa" w:w="1900"/>
            <w:vAlign w:val="center"/>
            <w:tcMar>
              <w:top w:w="80" w:type="dxa"/>
              <w:start w:w="120" w:type="dxa"/>
              <w:bottom w:w="80" w:type="dxa"/>
              <w:end w:w="120" w:type="dxa"/>
            </w:tcMar>
          </w:tcPr>
          <w:p>
            <w:r>
              <w:rPr>
                <w:sz w:val="18"/>
              </w:rPr>
              <w:t>rv_dwell</w:t>
            </w:r>
          </w:p>
        </w:tc>
        <w:tc>
          <w:tcPr>
            <w:tcW w:type="dxa" w:w="4800"/>
            <w:vAlign w:val="center"/>
            <w:tcMar>
              <w:top w:w="80" w:type="dxa"/>
              <w:start w:w="120" w:type="dxa"/>
              <w:bottom w:w="80" w:type="dxa"/>
              <w:end w:w="120" w:type="dxa"/>
            </w:tcMar>
          </w:tcPr>
          <w:p>
            <w:r>
              <w:rPr>
                <w:sz w:val="18"/>
              </w:rPr>
              <w:t>No reliable aware Sharpe advantage</w:t>
            </w:r>
          </w:p>
        </w:tc>
        <w:tc>
          <w:tcPr>
            <w:tcW w:type="dxa" w:w="2660"/>
            <w:vAlign w:val="center"/>
            <w:tcMar>
              <w:top w:w="80" w:type="dxa"/>
              <w:start w:w="120" w:type="dxa"/>
              <w:bottom w:w="80" w:type="dxa"/>
              <w:end w:w="120" w:type="dxa"/>
            </w:tcMar>
          </w:tcPr>
          <w:p>
            <w:r>
              <w:rPr>
                <w:sz w:val="18"/>
              </w:rPr>
              <w:t>p = 0.1095</w:t>
            </w:r>
          </w:p>
        </w:tc>
      </w:tr>
      <w:tr>
        <w:tc>
          <w:tcPr>
            <w:tcW w:type="dxa" w:w="1900"/>
            <w:vAlign w:val="center"/>
            <w:tcMar>
              <w:top w:w="80" w:type="dxa"/>
              <w:start w:w="120" w:type="dxa"/>
              <w:bottom w:w="80" w:type="dxa"/>
              <w:end w:w="120" w:type="dxa"/>
            </w:tcMar>
          </w:tcPr>
          <w:p>
            <w:r>
              <w:rPr>
                <w:sz w:val="18"/>
              </w:rPr>
              <w:t>hmm</w:t>
            </w:r>
          </w:p>
        </w:tc>
        <w:tc>
          <w:tcPr>
            <w:tcW w:type="dxa" w:w="4800"/>
            <w:vAlign w:val="center"/>
            <w:tcMar>
              <w:top w:w="80" w:type="dxa"/>
              <w:start w:w="120" w:type="dxa"/>
              <w:bottom w:w="80" w:type="dxa"/>
              <w:end w:w="120" w:type="dxa"/>
            </w:tcMar>
          </w:tcPr>
          <w:p>
            <w:r>
              <w:rPr>
                <w:sz w:val="18"/>
              </w:rPr>
              <w:t>No reliable aware Sharpe advantage despite higher accuracy</w:t>
            </w:r>
          </w:p>
        </w:tc>
        <w:tc>
          <w:tcPr>
            <w:tcW w:type="dxa" w:w="2660"/>
            <w:vAlign w:val="center"/>
            <w:tcMar>
              <w:top w:w="80" w:type="dxa"/>
              <w:start w:w="120" w:type="dxa"/>
              <w:bottom w:w="80" w:type="dxa"/>
              <w:end w:w="120" w:type="dxa"/>
            </w:tcMar>
          </w:tcPr>
          <w:p>
            <w:r>
              <w:rPr>
                <w:sz w:val="18"/>
              </w:rPr>
              <w:t>p = 0.0822</w:t>
            </w:r>
          </w:p>
        </w:tc>
      </w:tr>
      <w:tr>
        <w:tc>
          <w:tcPr>
            <w:tcW w:type="dxa" w:w="1900"/>
            <w:vAlign w:val="center"/>
            <w:tcMar>
              <w:top w:w="80" w:type="dxa"/>
              <w:start w:w="120" w:type="dxa"/>
              <w:bottom w:w="80" w:type="dxa"/>
              <w:end w:w="120" w:type="dxa"/>
            </w:tcMar>
          </w:tcPr>
          <w:p>
            <w:r>
              <w:rPr>
                <w:sz w:val="18"/>
              </w:rPr>
              <w:t>ANOVA</w:t>
            </w:r>
          </w:p>
        </w:tc>
        <w:tc>
          <w:tcPr>
            <w:tcW w:type="dxa" w:w="4800"/>
            <w:vAlign w:val="center"/>
            <w:tcMar>
              <w:top w:w="80" w:type="dxa"/>
              <w:start w:w="120" w:type="dxa"/>
              <w:bottom w:w="80" w:type="dxa"/>
              <w:end w:w="120" w:type="dxa"/>
            </w:tcMar>
          </w:tcPr>
          <w:p>
            <w:r>
              <w:rPr>
                <w:sz w:val="18"/>
              </w:rPr>
              <w:t>Detector choice does not explain the result</w:t>
            </w:r>
          </w:p>
        </w:tc>
        <w:tc>
          <w:tcPr>
            <w:tcW w:type="dxa" w:w="2660"/>
            <w:vAlign w:val="center"/>
            <w:tcMar>
              <w:top w:w="80" w:type="dxa"/>
              <w:start w:w="120" w:type="dxa"/>
              <w:bottom w:w="80" w:type="dxa"/>
              <w:end w:w="120" w:type="dxa"/>
            </w:tcMar>
          </w:tcPr>
          <w:p>
            <w:r>
              <w:rPr>
                <w:sz w:val="18"/>
              </w:rPr>
              <w:t>F = 0.0034, p = 0.9966</w:t>
            </w:r>
          </w:p>
        </w:tc>
      </w:tr>
    </w:tbl>
    <w:p/>
    <w:p>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r>
        <w:t>The detector robustness table comes from the w5_detector_full robustness experiment, while the main WP5 OOS table in Section 8.1 comes from the w5_main experiment. Small differences in PPO-aware/blind means therefore reflect distinct frozen experiment batches, not an inconsistency.</w:t>
      </w:r>
    </w:p>
    <w:p>
      <w:pPr>
        <w:keepNext/>
        <w:keepLines/>
        <w:jc w:val="center"/>
      </w:pPr>
      <w:r>
        <w:drawing>
          <wp:inline xmlns:a="http://schemas.openxmlformats.org/drawingml/2006/main" xmlns:pic="http://schemas.openxmlformats.org/drawingml/2006/picture">
            <wp:extent cx="5257800" cy="3252707"/>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257800" cy="3252707"/>
                    </a:xfrm>
                    <a:prstGeom prst="rect"/>
                  </pic:spPr>
                </pic:pic>
              </a:graphicData>
            </a:graphic>
          </wp:inline>
        </w:drawing>
      </w:r>
    </w:p>
    <w:p>
      <w:pPr>
        <w:pStyle w:val="Caption"/>
        <w:keepLines/>
        <w:jc w:val="center"/>
      </w:pPr>
      <w:r>
        <w:t>Figure 5. Detector robustness: rv_baseline, rv_dwell, and HMM all fail to create a reliable regime-aware PPO advantage.</w:t>
      </w:r>
    </w:p>
    <w:p>
      <w:pPr>
        <w:pStyle w:val="Heading2"/>
      </w:pPr>
      <w:r>
        <w:t>8.4 Reward-Shaping and Misspecification Checks</w:t>
      </w:r>
    </w:p>
    <w:p>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pPr>
        <w:keepNext/>
        <w:keepLines/>
        <w:jc w:val="center"/>
      </w:pPr>
      <w:r>
        <w:drawing>
          <wp:inline xmlns:a="http://schemas.openxmlformats.org/drawingml/2006/main" xmlns:pic="http://schemas.openxmlformats.org/drawingml/2006/picture">
            <wp:extent cx="5257800" cy="2185827"/>
            <wp:docPr id="6" name="Picture 6"/>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257800" cy="2185827"/>
                    </a:xfrm>
                    <a:prstGeom prst="rect"/>
                  </pic:spPr>
                </pic:pic>
              </a:graphicData>
            </a:graphic>
          </wp:inline>
        </w:drawing>
      </w:r>
    </w:p>
    <w:p>
      <w:pPr>
        <w:pStyle w:val="Caption"/>
        <w:keepLines/>
        <w:jc w:val="center"/>
      </w:pPr>
      <w:r>
        <w:t>Figure 6. Regime-conditional eta summary: changing the reward channel by regime still favors sigma_only over combined.</w:t>
      </w:r>
    </w:p>
    <w:p>
      <w:pPr>
        <w:keepNext/>
        <w:keepLines/>
        <w:jc w:val="center"/>
      </w:pPr>
      <w:r>
        <w:drawing>
          <wp:inline xmlns:a="http://schemas.openxmlformats.org/drawingml/2006/main" xmlns:pic="http://schemas.openxmlformats.org/drawingml/2006/picture">
            <wp:extent cx="5257800" cy="2971800"/>
            <wp:docPr id="7" name="Picture 7"/>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257800" cy="2971800"/>
                    </a:xfrm>
                    <a:prstGeom prst="rect"/>
                  </pic:spPr>
                </pic:pic>
              </a:graphicData>
            </a:graphic>
          </wp:inline>
        </w:drawing>
      </w:r>
    </w:p>
    <w:p>
      <w:pPr>
        <w:pStyle w:val="Caption"/>
        <w:keepLines/>
        <w:jc w:val="center"/>
      </w:pPr>
      <w:r>
        <w:t>Figure 7. Mild model-misspecification summary: sigma_only and oracle_full remain close under regime-dependent execution parameters.</w:t>
      </w:r>
    </w:p>
    <w:p>
      <w:pPr>
        <w:pStyle w:val="Heading2"/>
      </w:pPr>
      <w:r>
        <w:t>8.5 WP6 Signal-Informativeness Sweep</w:t>
      </w:r>
    </w:p>
    <w:tbl>
      <w:tblPr>
        <w:tblStyle w:val="TableGrid"/>
        <w:tblW w:type="dxa" w:w="9360"/>
        <w:tblLook w:firstColumn="1" w:firstRow="1" w:lastColumn="0" w:lastRow="0" w:noHBand="0" w:noVBand="1" w:val="04A0"/>
        <w:tblInd w:w="120" w:type="dxa"/>
        <w:tblLayout w:type="fixed"/>
      </w:tblPr>
      <w:tblGrid>
        <w:gridCol w:w="1450"/>
        <w:gridCol w:w="1600"/>
        <w:gridCol w:w="1600"/>
        <w:gridCol w:w="1600"/>
        <w:gridCol w:w="1600"/>
        <w:gridCol w:w="1510"/>
      </w:tblGrid>
      <w:tr>
        <w:tc>
          <w:tcPr>
            <w:tcW w:type="dxa" w:w="1450"/>
            <w:shd w:fill="F2F4F7"/>
            <w:vAlign w:val="center"/>
            <w:tcMar>
              <w:top w:w="80" w:type="dxa"/>
              <w:start w:w="120" w:type="dxa"/>
              <w:bottom w:w="80" w:type="dxa"/>
              <w:end w:w="120" w:type="dxa"/>
            </w:tcMar>
          </w:tcPr>
          <w:p>
            <w:r>
              <w:rPr>
                <w:b/>
                <w:sz w:val="18"/>
              </w:rPr>
              <w:t>condition</w:t>
            </w:r>
          </w:p>
        </w:tc>
        <w:tc>
          <w:tcPr>
            <w:tcW w:type="dxa" w:w="1600"/>
            <w:shd w:fill="F2F4F7"/>
            <w:vAlign w:val="center"/>
            <w:tcMar>
              <w:top w:w="80" w:type="dxa"/>
              <w:start w:w="120" w:type="dxa"/>
              <w:bottom w:w="80" w:type="dxa"/>
              <w:end w:w="120" w:type="dxa"/>
            </w:tcMar>
          </w:tcPr>
          <w:p>
            <w:r>
              <w:rPr>
                <w:b/>
                <w:sz w:val="18"/>
              </w:rPr>
              <w:t>sigma_only</w:t>
            </w:r>
          </w:p>
        </w:tc>
        <w:tc>
          <w:tcPr>
            <w:tcW w:type="dxa" w:w="1600"/>
            <w:shd w:fill="F2F4F7"/>
            <w:vAlign w:val="center"/>
            <w:tcMar>
              <w:top w:w="80" w:type="dxa"/>
              <w:start w:w="120" w:type="dxa"/>
              <w:bottom w:w="80" w:type="dxa"/>
              <w:end w:w="120" w:type="dxa"/>
            </w:tcMar>
          </w:tcPr>
          <w:p>
            <w:r>
              <w:rPr>
                <w:b/>
                <w:sz w:val="18"/>
              </w:rPr>
              <w:t>combined</w:t>
            </w:r>
          </w:p>
        </w:tc>
        <w:tc>
          <w:tcPr>
            <w:tcW w:type="dxa" w:w="1600"/>
            <w:shd w:fill="F2F4F7"/>
            <w:vAlign w:val="center"/>
            <w:tcMar>
              <w:top w:w="80" w:type="dxa"/>
              <w:start w:w="120" w:type="dxa"/>
              <w:bottom w:w="80" w:type="dxa"/>
              <w:end w:w="120" w:type="dxa"/>
            </w:tcMar>
          </w:tcPr>
          <w:p>
            <w:r>
              <w:rPr>
                <w:b/>
                <w:sz w:val="18"/>
              </w:rPr>
              <w:t>regime_only</w:t>
            </w:r>
          </w:p>
        </w:tc>
        <w:tc>
          <w:tcPr>
            <w:tcW w:type="dxa" w:w="1600"/>
            <w:shd w:fill="F2F4F7"/>
            <w:vAlign w:val="center"/>
            <w:tcMar>
              <w:top w:w="80" w:type="dxa"/>
              <w:start w:w="120" w:type="dxa"/>
              <w:bottom w:w="80" w:type="dxa"/>
              <w:end w:w="120" w:type="dxa"/>
            </w:tcMar>
          </w:tcPr>
          <w:p>
            <w:r>
              <w:rPr>
                <w:b/>
                <w:sz w:val="18"/>
              </w:rPr>
              <w:t>oracle_full</w:t>
            </w:r>
          </w:p>
        </w:tc>
        <w:tc>
          <w:tcPr>
            <w:tcW w:type="dxa" w:w="1510"/>
            <w:shd w:fill="F2F4F7"/>
            <w:vAlign w:val="center"/>
            <w:tcMar>
              <w:top w:w="80" w:type="dxa"/>
              <w:start w:w="120" w:type="dxa"/>
              <w:bottom w:w="80" w:type="dxa"/>
              <w:end w:w="120" w:type="dxa"/>
            </w:tcMar>
          </w:tcPr>
          <w:p>
            <w:r>
              <w:rPr>
                <w:b/>
                <w:sz w:val="18"/>
              </w:rPr>
              <w:t>oracle_pure</w:t>
            </w:r>
          </w:p>
        </w:tc>
      </w:tr>
      <w:tr>
        <w:tc>
          <w:tcPr>
            <w:tcW w:type="dxa" w:w="1450"/>
            <w:vAlign w:val="center"/>
            <w:tcMar>
              <w:top w:w="80" w:type="dxa"/>
              <w:start w:w="120" w:type="dxa"/>
              <w:bottom w:w="80" w:type="dxa"/>
              <w:end w:w="120" w:type="dxa"/>
            </w:tcMar>
          </w:tcPr>
          <w:p>
            <w:r>
              <w:rPr>
                <w:sz w:val="18"/>
              </w:rPr>
              <w:t>full</w:t>
            </w:r>
          </w:p>
        </w:tc>
        <w:tc>
          <w:tcPr>
            <w:tcW w:type="dxa" w:w="1600"/>
            <w:vAlign w:val="center"/>
            <w:tcMar>
              <w:top w:w="80" w:type="dxa"/>
              <w:start w:w="120" w:type="dxa"/>
              <w:bottom w:w="80" w:type="dxa"/>
              <w:end w:w="120" w:type="dxa"/>
            </w:tcMar>
          </w:tcPr>
          <w:p>
            <w:r>
              <w:rPr>
                <w:sz w:val="18"/>
              </w:rPr>
              <w:t>0.7626 +/- 0.0596</w:t>
            </w:r>
          </w:p>
        </w:tc>
        <w:tc>
          <w:tcPr>
            <w:tcW w:type="dxa" w:w="1600"/>
            <w:vAlign w:val="center"/>
            <w:tcMar>
              <w:top w:w="80" w:type="dxa"/>
              <w:start w:w="120" w:type="dxa"/>
              <w:bottom w:w="80" w:type="dxa"/>
              <w:end w:w="120" w:type="dxa"/>
            </w:tcMar>
          </w:tcPr>
          <w:p>
            <w:r>
              <w:rPr>
                <w:sz w:val="18"/>
              </w:rPr>
              <w:t>0.6898 +/- 0.0607</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0.6811 +/- 0.0697</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noisy</w:t>
            </w:r>
          </w:p>
        </w:tc>
        <w:tc>
          <w:tcPr>
            <w:tcW w:type="dxa" w:w="1600"/>
            <w:vAlign w:val="center"/>
            <w:tcMar>
              <w:top w:w="80" w:type="dxa"/>
              <w:start w:w="120" w:type="dxa"/>
              <w:bottom w:w="80" w:type="dxa"/>
              <w:end w:w="120" w:type="dxa"/>
            </w:tcMar>
          </w:tcPr>
          <w:p>
            <w:r>
              <w:rPr>
                <w:sz w:val="18"/>
              </w:rPr>
              <w:t>0.7563 +/- 0.0616</w:t>
            </w:r>
          </w:p>
        </w:tc>
        <w:tc>
          <w:tcPr>
            <w:tcW w:type="dxa" w:w="1600"/>
            <w:vAlign w:val="center"/>
            <w:tcMar>
              <w:top w:w="80" w:type="dxa"/>
              <w:start w:w="120" w:type="dxa"/>
              <w:bottom w:w="80" w:type="dxa"/>
              <w:end w:w="120" w:type="dxa"/>
            </w:tcMar>
          </w:tcPr>
          <w:p>
            <w:r>
              <w:rPr>
                <w:sz w:val="18"/>
              </w:rPr>
              <w:t>0.7125 +/- 0.0628</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0.6736 +/- 0.1013</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lagged</w:t>
            </w:r>
          </w:p>
        </w:tc>
        <w:tc>
          <w:tcPr>
            <w:tcW w:type="dxa" w:w="1600"/>
            <w:vAlign w:val="center"/>
            <w:tcMar>
              <w:top w:w="80" w:type="dxa"/>
              <w:start w:w="120" w:type="dxa"/>
              <w:bottom w:w="80" w:type="dxa"/>
              <w:end w:w="120" w:type="dxa"/>
            </w:tcMar>
          </w:tcPr>
          <w:p>
            <w:r>
              <w:rPr>
                <w:sz w:val="18"/>
              </w:rPr>
              <w:t>0.7822 +/- 0.0454</w:t>
            </w:r>
          </w:p>
        </w:tc>
        <w:tc>
          <w:tcPr>
            <w:tcW w:type="dxa" w:w="1600"/>
            <w:vAlign w:val="center"/>
            <w:tcMar>
              <w:top w:w="80" w:type="dxa"/>
              <w:start w:w="120" w:type="dxa"/>
              <w:bottom w:w="80" w:type="dxa"/>
              <w:end w:w="120" w:type="dxa"/>
            </w:tcMar>
          </w:tcPr>
          <w:p>
            <w:r>
              <w:rPr>
                <w:sz w:val="18"/>
              </w:rPr>
              <w:t>0.6812 +/- 0.0536</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0.7264 +/- 0.0686</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coarsened</w:t>
            </w:r>
          </w:p>
        </w:tc>
        <w:tc>
          <w:tcPr>
            <w:tcW w:type="dxa" w:w="1600"/>
            <w:vAlign w:val="center"/>
            <w:tcMar>
              <w:top w:w="80" w:type="dxa"/>
              <w:start w:w="120" w:type="dxa"/>
              <w:bottom w:w="80" w:type="dxa"/>
              <w:end w:w="120" w:type="dxa"/>
            </w:tcMar>
          </w:tcPr>
          <w:p>
            <w:r>
              <w:rPr>
                <w:sz w:val="18"/>
              </w:rPr>
              <w:t>0.7827 +/- 0.0533</w:t>
            </w:r>
          </w:p>
        </w:tc>
        <w:tc>
          <w:tcPr>
            <w:tcW w:type="dxa" w:w="1600"/>
            <w:vAlign w:val="center"/>
            <w:tcMar>
              <w:top w:w="80" w:type="dxa"/>
              <w:start w:w="120" w:type="dxa"/>
              <w:bottom w:w="80" w:type="dxa"/>
              <w:end w:w="120" w:type="dxa"/>
            </w:tcMar>
          </w:tcPr>
          <w:p>
            <w:r>
              <w:rPr>
                <w:sz w:val="18"/>
              </w:rPr>
              <w:t>0.6908 +/- 0.0827</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0.7447 +/- 0.0549</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none</w:t>
            </w:r>
          </w:p>
        </w:tc>
        <w:tc>
          <w:tcPr>
            <w:tcW w:type="dxa" w:w="1600"/>
            <w:vAlign w:val="center"/>
            <w:tcMar>
              <w:top w:w="80" w:type="dxa"/>
              <w:start w:w="120" w:type="dxa"/>
              <w:bottom w:w="80" w:type="dxa"/>
              <w:end w:w="120" w:type="dxa"/>
            </w:tcMar>
          </w:tcPr>
          <w:p>
            <w:r>
              <w:rPr>
                <w:sz w:val="18"/>
              </w:rPr>
              <w:t>undefined</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0.6632 +/- 0.0769</w:t>
            </w:r>
          </w:p>
        </w:tc>
        <w:tc>
          <w:tcPr>
            <w:tcW w:type="dxa" w:w="1510"/>
            <w:vAlign w:val="center"/>
            <w:tcMar>
              <w:top w:w="80" w:type="dxa"/>
              <w:start w:w="120" w:type="dxa"/>
              <w:bottom w:w="80" w:type="dxa"/>
              <w:end w:w="120" w:type="dxa"/>
            </w:tcMar>
          </w:tcPr>
          <w:p>
            <w:r>
              <w:rPr>
                <w:sz w:val="18"/>
              </w:rPr>
              <w:t>0.6632 +/- 0.0769</w:t>
            </w:r>
          </w:p>
        </w:tc>
      </w:tr>
    </w:tbl>
    <w:p/>
    <w:p>
      <w:r>
        <w:t>Entries are mean +/- 95% confidence-interval half-width across 20 seeds, not standard deviations.</w:t>
      </w:r>
    </w:p>
    <w:p>
      <w:r>
        <w:t>WP6 did not support the original informativeness-threshold hypothesis within the tested calibration band. sigma_only remained high under informative conditions, while combined was directionally below sigma_only.</w:t>
      </w:r>
    </w:p>
    <w:p>
      <w:r>
        <w:t>The WP6 figures should be read as a refinement of the main finding rather than a new mechanism proof: they show that the tested sigma_hat degradation path did not reveal a regime-label advantage.</w:t>
      </w:r>
    </w:p>
    <w:p>
      <w:pPr>
        <w:keepNext/>
        <w:keepLines/>
        <w:jc w:val="center"/>
      </w:pPr>
      <w:r>
        <w:drawing>
          <wp:inline xmlns:a="http://schemas.openxmlformats.org/drawingml/2006/main" xmlns:pic="http://schemas.openxmlformats.org/drawingml/2006/picture">
            <wp:extent cx="4800600" cy="3010495"/>
            <wp:docPr id="8" name="Picture 8"/>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4800600" cy="3010495"/>
                    </a:xfrm>
                    <a:prstGeom prst="rect"/>
                  </pic:spPr>
                </pic:pic>
              </a:graphicData>
            </a:graphic>
          </wp:inline>
        </w:drawing>
      </w:r>
    </w:p>
    <w:p>
      <w:pPr>
        <w:pStyle w:val="Caption"/>
        <w:keepLines/>
        <w:jc w:val="center"/>
      </w:pPr>
      <w:r>
        <w:t>Figure 8. WP6 monotonic-gap plot: the expected narrowing of the sigma_only versus combined gap does not appear in the tested calibration band.</w:t>
      </w:r>
    </w:p>
    <w:p>
      <w:r>
        <w:t>The paired-seed views below show whether aggregate differences are broad across seeds or driven by a few runs.</w:t>
      </w:r>
    </w:p>
    <w:p>
      <w:pPr>
        <w:keepNext/>
        <w:keepLines/>
        <w:jc w:val="center"/>
      </w:pPr>
      <w:r>
        <w:drawing>
          <wp:inline xmlns:a="http://schemas.openxmlformats.org/drawingml/2006/main" xmlns:pic="http://schemas.openxmlformats.org/drawingml/2006/picture">
            <wp:extent cx="4800600" cy="5111280"/>
            <wp:docPr id="9" name="Picture 9"/>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4800600" cy="5111280"/>
                    </a:xfrm>
                    <a:prstGeom prst="rect"/>
                  </pic:spPr>
                </pic:pic>
              </a:graphicData>
            </a:graphic>
          </wp:inline>
        </w:drawing>
      </w:r>
    </w:p>
    <w:p>
      <w:pPr>
        <w:pStyle w:val="Caption"/>
        <w:keepLines/>
        <w:jc w:val="center"/>
      </w:pPr>
      <w:r>
        <w:t>Figure 9. WP6 paired-seed combined versus sigma_only: combined is directionally below sigma_only in informative conditions.</w:t>
      </w:r>
    </w:p>
    <w:p>
      <w:pPr>
        <w:keepNext/>
        <w:keepLines/>
        <w:jc w:val="center"/>
      </w:pPr>
      <w:r>
        <w:drawing>
          <wp:inline xmlns:a="http://schemas.openxmlformats.org/drawingml/2006/main" xmlns:pic="http://schemas.openxmlformats.org/drawingml/2006/picture">
            <wp:extent cx="4800600" cy="5111280"/>
            <wp:docPr id="10" name="Picture 10"/>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4800600" cy="5111280"/>
                    </a:xfrm>
                    <a:prstGeom prst="rect"/>
                  </pic:spPr>
                </pic:pic>
              </a:graphicData>
            </a:graphic>
          </wp:inline>
        </w:drawing>
      </w:r>
    </w:p>
    <w:p>
      <w:pPr>
        <w:pStyle w:val="Caption"/>
        <w:keepLines/>
        <w:jc w:val="center"/>
      </w:pPr>
      <w:r>
        <w:t>Figure 10. WP6 paired-seed combined versus regime_only: this diagnostic bounds how much sigma_hat is used inside the combined variant.</w:t>
      </w:r>
    </w:p>
    <w:p>
      <w:pPr>
        <w:pStyle w:val="Heading1"/>
      </w:pPr>
      <w:r>
        <w:t>9 Evaluation Metrics</w:t>
      </w:r>
    </w:p>
    <w:p>
      <w:pPr>
        <w:pStyle w:val="Heading2"/>
      </w:pPr>
      <w:r>
        <w:t>9.1 Final Equity</w:t>
      </w:r>
    </w:p>
    <w:p>
      <w:r>
        <w:t>Final equity is the terminal marked-to-market wealth. It is economically meaningful but not sufficient alone because high raw equity can be earned by taking large inventory risk.</w:t>
      </w:r>
    </w:p>
    <w:p>
      <w:pPr>
        <w:pStyle w:val="Heading2"/>
      </w:pPr>
      <w:r>
        <w:t>9.2 Sharpe-Like Ratio</w:t>
      </w:r>
    </w:p>
    <w:p>
      <w:pPr>
        <w:jc w:val="center"/>
      </w:pPr>
      <w:r>
        <w:rPr>
          <w:rFonts w:ascii="Cambria Math" w:hAnsi="Cambria Math" w:eastAsia="Cambria Math"/>
          <w:b/>
          <w:sz w:val="22"/>
        </w:rPr>
        <w:t>(16)  Sharpe-like = mean(g_t) / std(g_t)</w:t>
      </w:r>
    </w:p>
    <w:p>
      <w:r>
        <w:t>Here g_t denotes the logged per-step PnL or return-like series used by the project metric convention. This is the primary risk-adjusted performance metric.</w:t>
      </w:r>
    </w:p>
    <w:p>
      <w:pPr>
        <w:pStyle w:val="Heading2"/>
      </w:pPr>
      <w:r>
        <w:t>9.3 Inventory Tail Risk</w:t>
      </w:r>
    </w:p>
    <w:p>
      <w:pPr>
        <w:jc w:val="center"/>
      </w:pPr>
      <w:r>
        <w:rPr>
          <w:rFonts w:ascii="Cambria Math" w:hAnsi="Cambria Math" w:eastAsia="Cambria Math"/>
          <w:b/>
          <w:sz w:val="22"/>
        </w:rPr>
        <w:t>(17)  inv_p99 = percentile_99(|q_t|)</w:t>
      </w:r>
    </w:p>
    <w:p>
      <w:r>
        <w:t>Here q_t is inventory. inv_p99 is a practical tail-risk diagnostic for whether a strategy earns returns by carrying large inventory.</w:t>
      </w:r>
    </w:p>
    <w:p>
      <w:pPr>
        <w:pStyle w:val="Heading2"/>
      </w:pPr>
      <w:r>
        <w:t>9.4 Fill Rate</w:t>
      </w:r>
    </w:p>
    <w:p>
      <w:pPr>
        <w:jc w:val="center"/>
      </w:pPr>
      <w:r>
        <w:rPr>
          <w:rFonts w:ascii="Cambria Math" w:hAnsi="Cambria Math" w:eastAsia="Cambria Math"/>
          <w:b/>
          <w:sz w:val="22"/>
        </w:rPr>
        <w:t>(18)  fill_rate = filled quote opportunities / total quote opportunities</w:t>
      </w:r>
    </w:p>
    <w:p>
      <w:r>
        <w:t>The numerator and denominator follow the logged project convention. Fill rate is diagnostic rather than the primary thesis metric.</w:t>
      </w:r>
    </w:p>
    <w:p>
      <w:pPr>
        <w:pStyle w:val="Heading2"/>
      </w:pPr>
      <w:r>
        <w:t>9.5 Paired t-Tests</w:t>
      </w:r>
    </w:p>
    <w:p>
      <w:pPr>
        <w:jc w:val="center"/>
      </w:pPr>
      <w:r>
        <w:rPr>
          <w:rFonts w:ascii="Cambria Math" w:hAnsi="Cambria Math" w:eastAsia="Cambria Math"/>
          <w:b/>
          <w:sz w:val="22"/>
        </w:rPr>
        <w:t>(19)  t = mean(d_i) / (sd(d_i) / sqrt(n))</w:t>
      </w:r>
    </w:p>
    <w:p>
      <w:r>
        <w:t>Here d_i is the paired seed-level difference between two strategies, sd(d_i) is its sample standard deviation, and n is the number of paired seeds.</w:t>
      </w:r>
    </w:p>
    <w:p>
      <w:pPr>
        <w:pStyle w:val="Heading2"/>
      </w:pPr>
      <w:r>
        <w:t>9.6 TOST Equivalence Tests</w:t>
      </w:r>
    </w:p>
    <w:p>
      <w:r>
        <w:t>TOST evaluates whether the plausible range of a paired difference lies inside a pre-specified practical-equivalence band. At alpha = 0.05, the corresponding equivalence reading uses the 90% confidence interval. WP5 uses TOST to support practical equivalence for sigma_only versus oracle_full; WP6 also uses related paired tests to examine non-equivalence and mean indistinguishability patterns.</w:t>
      </w:r>
    </w:p>
    <w:p>
      <w:pPr>
        <w:pStyle w:val="Heading1"/>
      </w:pPr>
      <w:r>
        <w:t>10 Discussion</w:t>
      </w:r>
    </w:p>
    <w:p>
      <w:pPr>
        <w:pStyle w:val="Heading2"/>
      </w:pPr>
      <w:r>
        <w:t>10.1 Main Interpretation: Signal Redundancy</w:t>
      </w:r>
    </w:p>
    <w:p>
      <w:r>
        <w:t>In the tested controlled synthetic HFMM environment, explicit categorical volatility-regime labels do not provide robust incremental value once sigma_hat is already observed by the PPO policy. The results are consistent with signal redundancy.</w:t>
      </w:r>
    </w:p>
    <w:p>
      <w:r>
        <w:t>The interpretation is that the continuous realized-volatility proxy already supplies the economically useful volatility information needed by the policy in this environment. The categorical label may be coarser or redundant when presented alongside sigma_hat.</w:t>
      </w:r>
    </w:p>
    <w:p>
      <w:pPr>
        <w:pStyle w:val="Heading2"/>
      </w:pPr>
      <w:r>
        <w:t>10.2 Why the Result Is Not a Weak Null</w:t>
      </w:r>
    </w:p>
    <w:p>
      <w:r>
        <w:t>The conclusion does not rest only on p &gt; 0.05. It is supported by detector robustness, oracle labels, TOST equivalence, reward-channel checks, mild misspecification, and WP6 degradation tests.</w:t>
      </w:r>
    </w:p>
    <w:p>
      <w:pPr>
        <w:pStyle w:val="Heading2"/>
      </w:pPr>
      <w:r>
        <w:t>10.3 Synthetic-Market Boundary</w:t>
      </w:r>
    </w:p>
    <w:p>
      <w:r>
        <w:t>The result is bounded to the tested synthetic HFMM simulator. It does not imply that volatility-regime structure lacks importance in finance or that categorical signals cannot help in other market-making designs.</w:t>
      </w:r>
    </w:p>
    <w:p>
      <w:pPr>
        <w:pStyle w:val="Heading2"/>
      </w:pPr>
      <w:r>
        <w:t>10.4 Risks to Interpretation</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r>
              <w:rPr>
                <w:b/>
                <w:sz w:val="18"/>
              </w:rPr>
              <w:t>Risk</w:t>
            </w:r>
          </w:p>
        </w:tc>
        <w:tc>
          <w:tcPr>
            <w:tcW w:type="dxa" w:w="6360"/>
            <w:shd w:fill="F2F4F7"/>
            <w:vAlign w:val="center"/>
            <w:tcMar>
              <w:top w:w="80" w:type="dxa"/>
              <w:start w:w="120" w:type="dxa"/>
              <w:bottom w:w="80" w:type="dxa"/>
              <w:end w:w="120" w:type="dxa"/>
            </w:tcMar>
          </w:tcPr>
          <w:p>
            <w:r>
              <w:rPr>
                <w:b/>
                <w:sz w:val="18"/>
              </w:rPr>
              <w:t>Mitigation</w:t>
            </w:r>
          </w:p>
        </w:tc>
      </w:tr>
      <w:tr>
        <w:tc>
          <w:tcPr>
            <w:tcW w:type="dxa" w:w="3000"/>
            <w:vAlign w:val="center"/>
            <w:tcMar>
              <w:top w:w="80" w:type="dxa"/>
              <w:start w:w="120" w:type="dxa"/>
              <w:bottom w:w="80" w:type="dxa"/>
              <w:end w:w="120" w:type="dxa"/>
            </w:tcMar>
          </w:tcPr>
          <w:p>
            <w:r>
              <w:rPr>
                <w:sz w:val="18"/>
              </w:rPr>
              <w:t>Overclaiming mechanism</w:t>
            </w:r>
          </w:p>
        </w:tc>
        <w:tc>
          <w:tcPr>
            <w:tcW w:type="dxa" w:w="6360"/>
            <w:vAlign w:val="center"/>
            <w:tcMar>
              <w:top w:w="80" w:type="dxa"/>
              <w:start w:w="120" w:type="dxa"/>
              <w:bottom w:w="80" w:type="dxa"/>
              <w:end w:w="120" w:type="dxa"/>
            </w:tcMar>
          </w:tcPr>
          <w:p>
            <w:r>
              <w:rPr>
                <w:sz w:val="18"/>
              </w:rPr>
              <w:t>Use signal-redundancy and categorical-channel degradation as interpretations, not proofs of PPO internals.</w:t>
            </w:r>
          </w:p>
        </w:tc>
      </w:tr>
      <w:tr>
        <w:tc>
          <w:tcPr>
            <w:tcW w:type="dxa" w:w="3000"/>
            <w:vAlign w:val="center"/>
            <w:tcMar>
              <w:top w:w="80" w:type="dxa"/>
              <w:start w:w="120" w:type="dxa"/>
              <w:bottom w:w="80" w:type="dxa"/>
              <w:end w:w="120" w:type="dxa"/>
            </w:tcMar>
          </w:tcPr>
          <w:p>
            <w:r>
              <w:rPr>
                <w:sz w:val="18"/>
              </w:rPr>
              <w:t>Detector causality confusion</w:t>
            </w:r>
          </w:p>
        </w:tc>
        <w:tc>
          <w:tcPr>
            <w:tcW w:type="dxa" w:w="6360"/>
            <w:vAlign w:val="center"/>
            <w:tcMar>
              <w:top w:w="80" w:type="dxa"/>
              <w:start w:w="120" w:type="dxa"/>
              <w:bottom w:w="80" w:type="dxa"/>
              <w:end w:w="120" w:type="dxa"/>
            </w:tcMar>
          </w:tcPr>
          <w:p>
            <w:r>
              <w:rPr>
                <w:sz w:val="18"/>
              </w:rPr>
              <w:t>State that rv_baseline is the main causal detector and rv_dwell is auxiliary/offline.</w:t>
            </w:r>
          </w:p>
        </w:tc>
      </w:tr>
      <w:tr>
        <w:tc>
          <w:tcPr>
            <w:tcW w:type="dxa" w:w="3000"/>
            <w:vAlign w:val="center"/>
            <w:tcMar>
              <w:top w:w="80" w:type="dxa"/>
              <w:start w:w="120" w:type="dxa"/>
              <w:bottom w:w="80" w:type="dxa"/>
              <w:end w:w="120" w:type="dxa"/>
            </w:tcMar>
          </w:tcPr>
          <w:p>
            <w:r>
              <w:rPr>
                <w:sz w:val="18"/>
              </w:rPr>
              <w:t>Synthetic external validity</w:t>
            </w:r>
          </w:p>
        </w:tc>
        <w:tc>
          <w:tcPr>
            <w:tcW w:type="dxa" w:w="6360"/>
            <w:vAlign w:val="center"/>
            <w:tcMar>
              <w:top w:w="80" w:type="dxa"/>
              <w:start w:w="120" w:type="dxa"/>
              <w:bottom w:w="80" w:type="dxa"/>
              <w:end w:w="120" w:type="dxa"/>
            </w:tcMar>
          </w:tcPr>
          <w:p>
            <w:r>
              <w:rPr>
                <w:sz w:val="18"/>
              </w:rPr>
              <w:t>Frame all claims as controlled synthetic-market claims.</w:t>
            </w:r>
          </w:p>
        </w:tc>
      </w:tr>
      <w:tr>
        <w:tc>
          <w:tcPr>
            <w:tcW w:type="dxa" w:w="3000"/>
            <w:vAlign w:val="center"/>
            <w:tcMar>
              <w:top w:w="80" w:type="dxa"/>
              <w:start w:w="120" w:type="dxa"/>
              <w:bottom w:w="80" w:type="dxa"/>
              <w:end w:w="120" w:type="dxa"/>
            </w:tcMar>
          </w:tcPr>
          <w:p>
            <w:r>
              <w:rPr>
                <w:sz w:val="18"/>
              </w:rPr>
              <w:t>Template over-compression</w:t>
            </w:r>
          </w:p>
        </w:tc>
        <w:tc>
          <w:tcPr>
            <w:tcW w:type="dxa" w:w="6360"/>
            <w:vAlign w:val="center"/>
            <w:tcMar>
              <w:top w:w="80" w:type="dxa"/>
              <w:start w:w="120" w:type="dxa"/>
              <w:bottom w:w="80" w:type="dxa"/>
              <w:end w:w="120" w:type="dxa"/>
            </w:tcMar>
          </w:tcPr>
          <w:p>
            <w:r>
              <w:rPr>
                <w:sz w:val="18"/>
              </w:rPr>
              <w:t>Keep the literature and evidence spine, but map it into template headings.</w:t>
            </w:r>
          </w:p>
        </w:tc>
      </w:tr>
    </w:tbl>
    <w:p/>
    <w:p>
      <w:pPr>
        <w:pStyle w:val="Heading2"/>
      </w:pPr>
      <w:r>
        <w:t>10.5 Future Work</w:t>
      </w:r>
    </w:p>
    <w:p>
      <w:pPr>
        <w:pStyle w:val="ListBullet"/>
      </w:pPr>
      <w:r>
        <w:t>Evaluate stronger regime-dependent execution misspecification.</w:t>
      </w:r>
    </w:p>
    <w:p>
      <w:pPr>
        <w:pStyle w:val="ListBullet"/>
      </w:pPr>
      <w:r>
        <w:t>Test real or richer limit-order-book data after thesis scope, not as a claim of this report.</w:t>
      </w:r>
    </w:p>
    <w:p>
      <w:pPr>
        <w:pStyle w:val="ListBullet"/>
      </w:pPr>
      <w:r>
        <w:t>Run representation-level diagnostics only as future mechanism work.</w:t>
      </w:r>
    </w:p>
    <w:p>
      <w:pPr>
        <w:pStyle w:val="ListBullet"/>
      </w:pPr>
      <w:r>
        <w:t>Explore alternative observation encodings and policy architectures.</w:t>
      </w:r>
    </w:p>
    <w:p>
      <w:pPr>
        <w:pStyle w:val="Heading1"/>
      </w:pPr>
      <w:r>
        <w:t>11 Reproducibility Checklist</w:t>
      </w:r>
    </w:p>
    <w:tbl>
      <w:tblPr>
        <w:tblStyle w:val="TableGrid"/>
        <w:tblW w:type="dxa" w:w="9360"/>
        <w:tblLook w:firstColumn="1" w:firstRow="1" w:lastColumn="0" w:lastRow="0" w:noHBand="0" w:noVBand="1" w:val="04A0"/>
        <w:tblInd w:w="120" w:type="dxa"/>
        <w:tblLayout w:type="fixed"/>
      </w:tblPr>
      <w:tblGrid>
        <w:gridCol w:w="2800"/>
        <w:gridCol w:w="6560"/>
      </w:tblGrid>
      <w:tr>
        <w:tc>
          <w:tcPr>
            <w:tcW w:type="dxa" w:w="2800"/>
            <w:shd w:fill="F2F4F7"/>
            <w:vAlign w:val="center"/>
            <w:tcMar>
              <w:top w:w="80" w:type="dxa"/>
              <w:start w:w="120" w:type="dxa"/>
              <w:bottom w:w="80" w:type="dxa"/>
              <w:end w:w="120" w:type="dxa"/>
            </w:tcMar>
          </w:tcPr>
          <w:p>
            <w:r>
              <w:rPr>
                <w:b/>
                <w:sz w:val="18"/>
              </w:rPr>
              <w:t>Item</w:t>
            </w:r>
          </w:p>
        </w:tc>
        <w:tc>
          <w:tcPr>
            <w:tcW w:type="dxa" w:w="6560"/>
            <w:shd w:fill="F2F4F7"/>
            <w:vAlign w:val="center"/>
            <w:tcMar>
              <w:top w:w="80" w:type="dxa"/>
              <w:start w:w="120" w:type="dxa"/>
              <w:bottom w:w="80" w:type="dxa"/>
              <w:end w:w="120" w:type="dxa"/>
            </w:tcMar>
          </w:tcPr>
          <w:p>
            <w:r>
              <w:rPr>
                <w:b/>
                <w:sz w:val="18"/>
              </w:rPr>
              <w:t>Status in thesis_31</w:t>
            </w:r>
          </w:p>
        </w:tc>
      </w:tr>
      <w:tr>
        <w:tc>
          <w:tcPr>
            <w:tcW w:type="dxa" w:w="2800"/>
            <w:vAlign w:val="center"/>
            <w:tcMar>
              <w:top w:w="80" w:type="dxa"/>
              <w:start w:w="120" w:type="dxa"/>
              <w:bottom w:w="80" w:type="dxa"/>
              <w:end w:w="120" w:type="dxa"/>
            </w:tcMar>
          </w:tcPr>
          <w:p>
            <w:r>
              <w:rPr>
                <w:sz w:val="18"/>
              </w:rPr>
              <w:t>Frozen baseline</w:t>
            </w:r>
          </w:p>
        </w:tc>
        <w:tc>
          <w:tcPr>
            <w:tcW w:type="dxa" w:w="6560"/>
            <w:vAlign w:val="center"/>
            <w:tcMar>
              <w:top w:w="80" w:type="dxa"/>
              <w:start w:w="120" w:type="dxa"/>
              <w:bottom w:w="80" w:type="dxa"/>
              <w:end w:w="120" w:type="dxa"/>
            </w:tcMar>
          </w:tcPr>
          <w:p>
            <w:r>
              <w:rPr>
                <w:sz w:val="18"/>
              </w:rPr>
              <w:t>thesis-v29-frozen tag; commit 9681faa; thesis_29 remains untouched.</w:t>
            </w:r>
          </w:p>
        </w:tc>
      </w:tr>
      <w:tr>
        <w:tc>
          <w:tcPr>
            <w:tcW w:type="dxa" w:w="2800"/>
            <w:vAlign w:val="center"/>
            <w:tcMar>
              <w:top w:w="80" w:type="dxa"/>
              <w:start w:w="120" w:type="dxa"/>
              <w:bottom w:w="80" w:type="dxa"/>
              <w:end w:w="120" w:type="dxa"/>
            </w:tcMar>
          </w:tcPr>
          <w:p>
            <w:r>
              <w:rPr>
                <w:sz w:val="18"/>
              </w:rPr>
              <w:t>Template draft</w:t>
            </w:r>
          </w:p>
        </w:tc>
        <w:tc>
          <w:tcPr>
            <w:tcW w:type="dxa" w:w="6560"/>
            <w:vAlign w:val="center"/>
            <w:tcMar>
              <w:top w:w="80" w:type="dxa"/>
              <w:start w:w="120" w:type="dxa"/>
              <w:bottom w:w="80" w:type="dxa"/>
              <w:end w:w="120" w:type="dxa"/>
            </w:tcMar>
          </w:tcPr>
          <w:p>
            <w:r>
              <w:rPr>
                <w:sz w:val="18"/>
              </w:rPr>
              <w:t>thesis_31 is a new template-adapted draft, not a replacement for thesis_29 or thesis_30.</w:t>
            </w:r>
          </w:p>
        </w:tc>
      </w:tr>
      <w:tr>
        <w:tc>
          <w:tcPr>
            <w:tcW w:type="dxa" w:w="2800"/>
            <w:vAlign w:val="center"/>
            <w:tcMar>
              <w:top w:w="80" w:type="dxa"/>
              <w:start w:w="120" w:type="dxa"/>
              <w:bottom w:w="80" w:type="dxa"/>
              <w:end w:w="120" w:type="dxa"/>
            </w:tcMar>
          </w:tcPr>
          <w:p>
            <w:r>
              <w:rPr>
                <w:sz w:val="18"/>
              </w:rPr>
              <w:t>Run ID structure</w:t>
            </w:r>
          </w:p>
        </w:tc>
        <w:tc>
          <w:tcPr>
            <w:tcW w:type="dxa" w:w="6560"/>
            <w:vAlign w:val="center"/>
            <w:tcMar>
              <w:top w:w="80" w:type="dxa"/>
              <w:start w:w="120" w:type="dxa"/>
              <w:bottom w:w="80" w:type="dxa"/>
              <w:end w:w="120" w:type="dxa"/>
            </w:tcMar>
          </w:tcPr>
          <w:p>
            <w:r>
              <w:rPr>
                <w:sz w:val="18"/>
              </w:rPr>
              <w:t>YYYYMMDD-HHMMSS_seed&lt;S&gt;_&lt;TAG&gt;_&lt;COMMIT&gt;.</w:t>
            </w:r>
          </w:p>
        </w:tc>
      </w:tr>
      <w:tr>
        <w:tc>
          <w:tcPr>
            <w:tcW w:type="dxa" w:w="2800"/>
            <w:vAlign w:val="center"/>
            <w:tcMar>
              <w:top w:w="80" w:type="dxa"/>
              <w:start w:w="120" w:type="dxa"/>
              <w:bottom w:w="80" w:type="dxa"/>
              <w:end w:w="120" w:type="dxa"/>
            </w:tcMar>
          </w:tcPr>
          <w:p>
            <w:r>
              <w:rPr>
                <w:sz w:val="18"/>
              </w:rPr>
              <w:t>Config snapshots</w:t>
            </w:r>
          </w:p>
        </w:tc>
        <w:tc>
          <w:tcPr>
            <w:tcW w:type="dxa" w:w="6560"/>
            <w:vAlign w:val="center"/>
            <w:tcMar>
              <w:top w:w="80" w:type="dxa"/>
              <w:start w:w="120" w:type="dxa"/>
              <w:bottom w:w="80" w:type="dxa"/>
              <w:end w:w="120" w:type="dxa"/>
            </w:tcMar>
          </w:tcPr>
          <w:p>
            <w:r>
              <w:rPr>
                <w:sz w:val="18"/>
              </w:rPr>
              <w:t>Every run snapshots config; config_snapshot_all.md inventories active config files.</w:t>
            </w:r>
          </w:p>
        </w:tc>
      </w:tr>
      <w:tr>
        <w:tc>
          <w:tcPr>
            <w:tcW w:type="dxa" w:w="2800"/>
            <w:vAlign w:val="center"/>
            <w:tcMar>
              <w:top w:w="80" w:type="dxa"/>
              <w:start w:w="120" w:type="dxa"/>
              <w:bottom w:w="80" w:type="dxa"/>
              <w:end w:w="120" w:type="dxa"/>
            </w:tcMar>
          </w:tcPr>
          <w:p>
            <w:r>
              <w:rPr>
                <w:sz w:val="18"/>
              </w:rPr>
              <w:t>Seeds</w:t>
            </w:r>
          </w:p>
        </w:tc>
        <w:tc>
          <w:tcPr>
            <w:tcW w:type="dxa" w:w="6560"/>
            <w:vAlign w:val="center"/>
            <w:tcMar>
              <w:top w:w="80" w:type="dxa"/>
              <w:start w:w="120" w:type="dxa"/>
              <w:bottom w:w="80" w:type="dxa"/>
              <w:end w:w="120" w:type="dxa"/>
            </w:tcMar>
          </w:tcPr>
          <w:p>
            <w:r>
              <w:rPr>
                <w:sz w:val="18"/>
              </w:rPr>
              <w:t>WP5 main uses seeds 1-20; WP6 full uses seeds 42-61.</w:t>
            </w:r>
          </w:p>
        </w:tc>
      </w:tr>
      <w:tr>
        <w:tc>
          <w:tcPr>
            <w:tcW w:type="dxa" w:w="2800"/>
            <w:vAlign w:val="center"/>
            <w:tcMar>
              <w:top w:w="80" w:type="dxa"/>
              <w:start w:w="120" w:type="dxa"/>
              <w:bottom w:w="80" w:type="dxa"/>
              <w:end w:w="120" w:type="dxa"/>
            </w:tcMar>
          </w:tcPr>
          <w:p>
            <w:r>
              <w:rPr>
                <w:sz w:val="18"/>
              </w:rPr>
              <w:t>Train/test split</w:t>
            </w:r>
          </w:p>
        </w:tc>
        <w:tc>
          <w:tcPr>
            <w:tcW w:type="dxa" w:w="6560"/>
            <w:vAlign w:val="center"/>
            <w:tcMar>
              <w:top w:w="80" w:type="dxa"/>
              <w:start w:w="120" w:type="dxa"/>
              <w:bottom w:w="80" w:type="dxa"/>
              <w:end w:w="120" w:type="dxa"/>
            </w:tcMar>
          </w:tcPr>
          <w:p>
            <w:r>
              <w:rPr>
                <w:sz w:val="18"/>
              </w:rPr>
              <w:t>70/30 chronological split on exogenous synthetic series.</w:t>
            </w:r>
          </w:p>
        </w:tc>
      </w:tr>
      <w:tr>
        <w:tc>
          <w:tcPr>
            <w:tcW w:type="dxa" w:w="2800"/>
            <w:vAlign w:val="center"/>
            <w:tcMar>
              <w:top w:w="80" w:type="dxa"/>
              <w:start w:w="120" w:type="dxa"/>
              <w:bottom w:w="80" w:type="dxa"/>
              <w:end w:w="120" w:type="dxa"/>
            </w:tcMar>
          </w:tcPr>
          <w:p>
            <w:r>
              <w:rPr>
                <w:sz w:val="18"/>
              </w:rPr>
              <w:t>Evidence manifest</w:t>
            </w:r>
          </w:p>
        </w:tc>
        <w:tc>
          <w:tcPr>
            <w:tcW w:type="dxa" w:w="6560"/>
            <w:vAlign w:val="center"/>
            <w:tcMar>
              <w:top w:w="80" w:type="dxa"/>
              <w:start w:w="120" w:type="dxa"/>
              <w:bottom w:w="80" w:type="dxa"/>
              <w:end w:w="120" w:type="dxa"/>
            </w:tcMar>
          </w:tcPr>
          <w:p>
            <w:r>
              <w:rPr>
                <w:sz w:val="18"/>
              </w:rPr>
              <w:t>EVIDENCE_MANIFEST.md records protected evidence and remediation invariants.</w:t>
            </w:r>
          </w:p>
        </w:tc>
      </w:tr>
      <w:tr>
        <w:tc>
          <w:tcPr>
            <w:tcW w:type="dxa" w:w="2800"/>
            <w:vAlign w:val="center"/>
            <w:tcMar>
              <w:top w:w="80" w:type="dxa"/>
              <w:start w:w="120" w:type="dxa"/>
              <w:bottom w:w="80" w:type="dxa"/>
              <w:end w:w="120" w:type="dxa"/>
            </w:tcMar>
          </w:tcPr>
          <w:p>
            <w:r>
              <w:rPr>
                <w:sz w:val="18"/>
              </w:rPr>
              <w:t>Protected CSV hashes</w:t>
            </w:r>
          </w:p>
        </w:tc>
        <w:tc>
          <w:tcPr>
            <w:tcW w:type="dxa" w:w="6560"/>
            <w:vAlign w:val="center"/>
            <w:tcMar>
              <w:top w:w="80" w:type="dxa"/>
              <w:start w:w="120" w:type="dxa"/>
              <w:bottom w:w="80" w:type="dxa"/>
              <w:end w:w="120" w:type="dxa"/>
            </w:tcMar>
          </w:tcPr>
          <w:p>
            <w:r>
              <w:rPr>
                <w:sz w:val="18"/>
              </w:rPr>
              <w:t>Listed below and verified by file hash checks.</w:t>
            </w:r>
          </w:p>
        </w:tc>
      </w:tr>
      <w:tr>
        <w:tc>
          <w:tcPr>
            <w:tcW w:type="dxa" w:w="2800"/>
            <w:vAlign w:val="center"/>
            <w:tcMar>
              <w:top w:w="80" w:type="dxa"/>
              <w:start w:w="120" w:type="dxa"/>
              <w:bottom w:w="80" w:type="dxa"/>
              <w:end w:w="120" w:type="dxa"/>
            </w:tcMar>
          </w:tcPr>
          <w:p>
            <w:r>
              <w:rPr>
                <w:sz w:val="18"/>
              </w:rPr>
              <w:t>Codebase snapshot</w:t>
            </w:r>
          </w:p>
        </w:tc>
        <w:tc>
          <w:tcPr>
            <w:tcW w:type="dxa" w:w="6560"/>
            <w:vAlign w:val="center"/>
            <w:tcMar>
              <w:top w:w="80" w:type="dxa"/>
              <w:start w:w="120" w:type="dxa"/>
              <w:bottom w:w="80" w:type="dxa"/>
              <w:end w:w="120" w:type="dxa"/>
            </w:tcMar>
          </w:tcPr>
          <w:p>
            <w:r>
              <w:rPr>
                <w:sz w:val="18"/>
              </w:rPr>
              <w:t>docs/internal/codebase_snapshot.py.</w:t>
            </w:r>
          </w:p>
        </w:tc>
      </w:tr>
      <w:tr>
        <w:tc>
          <w:tcPr>
            <w:tcW w:type="dxa" w:w="2800"/>
            <w:vAlign w:val="center"/>
            <w:tcMar>
              <w:top w:w="80" w:type="dxa"/>
              <w:start w:w="120" w:type="dxa"/>
              <w:bottom w:w="80" w:type="dxa"/>
              <w:end w:w="120" w:type="dxa"/>
            </w:tcMar>
          </w:tcPr>
          <w:p>
            <w:r>
              <w:rPr>
                <w:sz w:val="18"/>
              </w:rPr>
              <w:t>No-rerun policy</w:t>
            </w:r>
          </w:p>
        </w:tc>
        <w:tc>
          <w:tcPr>
            <w:tcW w:type="dxa" w:w="6560"/>
            <w:vAlign w:val="center"/>
            <w:tcMar>
              <w:top w:w="80" w:type="dxa"/>
              <w:start w:w="120" w:type="dxa"/>
              <w:bottom w:w="80" w:type="dxa"/>
              <w:end w:w="120" w:type="dxa"/>
            </w:tcMar>
          </w:tcPr>
          <w:p>
            <w:r>
              <w:rPr>
                <w:sz w:val="18"/>
              </w:rPr>
              <w:t>No PPO/WP5/WP6 reruns or figure regeneration during template adaptation.</w:t>
            </w:r>
          </w:p>
        </w:tc>
      </w:tr>
    </w:tbl>
    <w:p/>
    <w:tbl>
      <w:tblPr>
        <w:tblStyle w:val="TableGrid"/>
        <w:tblW w:type="dxa" w:w="9360"/>
        <w:tblLook w:firstColumn="1" w:firstRow="1" w:lastColumn="0" w:lastRow="0" w:noHBand="0" w:noVBand="1" w:val="04A0"/>
        <w:tblInd w:w="120" w:type="dxa"/>
        <w:tblLayout w:type="fixed"/>
      </w:tblPr>
      <w:tblGrid>
        <w:gridCol w:w="5300"/>
        <w:gridCol w:w="2300"/>
        <w:gridCol w:w="1760"/>
      </w:tblGrid>
      <w:tr>
        <w:tc>
          <w:tcPr>
            <w:tcW w:type="dxa" w:w="5300"/>
            <w:shd w:fill="F2F4F7"/>
            <w:vAlign w:val="center"/>
            <w:tcMar>
              <w:top w:w="80" w:type="dxa"/>
              <w:start w:w="120" w:type="dxa"/>
              <w:bottom w:w="80" w:type="dxa"/>
              <w:end w:w="120" w:type="dxa"/>
            </w:tcMar>
          </w:tcPr>
          <w:p>
            <w:r>
              <w:rPr>
                <w:b/>
                <w:sz w:val="18"/>
              </w:rPr>
              <w:t>Protected artifact</w:t>
            </w:r>
          </w:p>
        </w:tc>
        <w:tc>
          <w:tcPr>
            <w:tcW w:type="dxa" w:w="2300"/>
            <w:shd w:fill="F2F4F7"/>
            <w:vAlign w:val="center"/>
            <w:tcMar>
              <w:top w:w="80" w:type="dxa"/>
              <w:start w:w="120" w:type="dxa"/>
              <w:bottom w:w="80" w:type="dxa"/>
              <w:end w:w="120" w:type="dxa"/>
            </w:tcMar>
          </w:tcPr>
          <w:p>
            <w:r>
              <w:rPr>
                <w:b/>
                <w:sz w:val="18"/>
              </w:rPr>
              <w:t>Expected SHA256</w:t>
            </w:r>
          </w:p>
        </w:tc>
        <w:tc>
          <w:tcPr>
            <w:tcW w:type="dxa" w:w="1760"/>
            <w:shd w:fill="F2F4F7"/>
            <w:vAlign w:val="center"/>
            <w:tcMar>
              <w:top w:w="80" w:type="dxa"/>
              <w:start w:w="120" w:type="dxa"/>
              <w:bottom w:w="80" w:type="dxa"/>
              <w:end w:w="120" w:type="dxa"/>
            </w:tcMar>
          </w:tcPr>
          <w:p>
            <w:r>
              <w:rPr>
                <w:b/>
                <w:sz w:val="18"/>
              </w:rPr>
              <w:t>Check</w:t>
            </w:r>
          </w:p>
        </w:tc>
      </w:tr>
      <w:tr>
        <w:tc>
          <w:tcPr>
            <w:tcW w:type="dxa" w:w="5300"/>
            <w:vAlign w:val="center"/>
            <w:tcMar>
              <w:top w:w="80" w:type="dxa"/>
              <w:start w:w="120" w:type="dxa"/>
              <w:bottom w:w="80" w:type="dxa"/>
              <w:end w:w="120" w:type="dxa"/>
            </w:tcMar>
          </w:tcPr>
          <w:p>
            <w:r>
              <w:rPr>
                <w:sz w:val="18"/>
              </w:rPr>
              <w:t>results/metrics_detector_compare.csv</w:t>
            </w:r>
          </w:p>
        </w:tc>
        <w:tc>
          <w:tcPr>
            <w:tcW w:type="dxa" w:w="2300"/>
            <w:vAlign w:val="center"/>
            <w:tcMar>
              <w:top w:w="80" w:type="dxa"/>
              <w:start w:w="120" w:type="dxa"/>
              <w:bottom w:w="80" w:type="dxa"/>
              <w:end w:w="120" w:type="dxa"/>
            </w:tcMar>
          </w:tcPr>
          <w:p>
            <w:r>
              <w:rPr>
                <w:sz w:val="18"/>
              </w:rPr>
              <w:t>28E7AD40BB47...</w:t>
            </w:r>
          </w:p>
        </w:tc>
        <w:tc>
          <w:tcPr>
            <w:tcW w:type="dxa" w:w="1760"/>
            <w:vAlign w:val="center"/>
            <w:tcMar>
              <w:top w:w="80" w:type="dxa"/>
              <w:start w:w="120" w:type="dxa"/>
              <w:bottom w:w="80" w:type="dxa"/>
              <w:end w:w="120" w:type="dxa"/>
            </w:tcMar>
          </w:tcPr>
          <w:p>
            <w:r>
              <w:rPr>
                <w:sz w:val="18"/>
              </w:rPr>
              <w:t>MATCH</w:t>
            </w:r>
          </w:p>
        </w:tc>
      </w:tr>
      <w:tr>
        <w:tc>
          <w:tcPr>
            <w:tcW w:type="dxa" w:w="5300"/>
            <w:vAlign w:val="center"/>
            <w:tcMar>
              <w:top w:w="80" w:type="dxa"/>
              <w:start w:w="120" w:type="dxa"/>
              <w:bottom w:w="80" w:type="dxa"/>
              <w:end w:w="120" w:type="dxa"/>
            </w:tcMar>
          </w:tcPr>
          <w:p>
            <w:r>
              <w:rPr>
                <w:sz w:val="18"/>
              </w:rPr>
              <w:t>docs/internal/wp6_sweep_full/summary_condition_variant.csv</w:t>
            </w:r>
          </w:p>
        </w:tc>
        <w:tc>
          <w:tcPr>
            <w:tcW w:type="dxa" w:w="2300"/>
            <w:vAlign w:val="center"/>
            <w:tcMar>
              <w:top w:w="80" w:type="dxa"/>
              <w:start w:w="120" w:type="dxa"/>
              <w:bottom w:w="80" w:type="dxa"/>
              <w:end w:w="120" w:type="dxa"/>
            </w:tcMar>
          </w:tcPr>
          <w:p>
            <w:r>
              <w:rPr>
                <w:sz w:val="18"/>
              </w:rPr>
              <w:t>6DD627E81637...</w:t>
            </w:r>
          </w:p>
        </w:tc>
        <w:tc>
          <w:tcPr>
            <w:tcW w:type="dxa" w:w="1760"/>
            <w:vAlign w:val="center"/>
            <w:tcMar>
              <w:top w:w="80" w:type="dxa"/>
              <w:start w:w="120" w:type="dxa"/>
              <w:bottom w:w="80" w:type="dxa"/>
              <w:end w:w="120" w:type="dxa"/>
            </w:tcMar>
          </w:tcPr>
          <w:p>
            <w:r>
              <w:rPr>
                <w:sz w:val="18"/>
              </w:rPr>
              <w:t>MATCH</w:t>
            </w:r>
          </w:p>
        </w:tc>
      </w:tr>
      <w:tr>
        <w:tc>
          <w:tcPr>
            <w:tcW w:type="dxa" w:w="5300"/>
            <w:vAlign w:val="center"/>
            <w:tcMar>
              <w:top w:w="80" w:type="dxa"/>
              <w:start w:w="120" w:type="dxa"/>
              <w:bottom w:w="80" w:type="dxa"/>
              <w:end w:w="120" w:type="dxa"/>
            </w:tcMar>
          </w:tcPr>
          <w:p>
            <w:r>
              <w:rPr>
                <w:sz w:val="18"/>
              </w:rPr>
              <w:t>docs/internal/wp6_sweep_full/summary_paired_combined_vs_sigma.csv</w:t>
            </w:r>
          </w:p>
        </w:tc>
        <w:tc>
          <w:tcPr>
            <w:tcW w:type="dxa" w:w="2300"/>
            <w:vAlign w:val="center"/>
            <w:tcMar>
              <w:top w:w="80" w:type="dxa"/>
              <w:start w:w="120" w:type="dxa"/>
              <w:bottom w:w="80" w:type="dxa"/>
              <w:end w:w="120" w:type="dxa"/>
            </w:tcMar>
          </w:tcPr>
          <w:p>
            <w:r>
              <w:rPr>
                <w:sz w:val="18"/>
              </w:rPr>
              <w:t>4BABCAAACE1D...</w:t>
            </w:r>
          </w:p>
        </w:tc>
        <w:tc>
          <w:tcPr>
            <w:tcW w:type="dxa" w:w="1760"/>
            <w:vAlign w:val="center"/>
            <w:tcMar>
              <w:top w:w="80" w:type="dxa"/>
              <w:start w:w="120" w:type="dxa"/>
              <w:bottom w:w="80" w:type="dxa"/>
              <w:end w:w="120" w:type="dxa"/>
            </w:tcMar>
          </w:tcPr>
          <w:p>
            <w:r>
              <w:rPr>
                <w:sz w:val="18"/>
              </w:rPr>
              <w:t>MATCH</w:t>
            </w:r>
          </w:p>
        </w:tc>
      </w:tr>
      <w:tr>
        <w:tc>
          <w:tcPr>
            <w:tcW w:type="dxa" w:w="5300"/>
            <w:vAlign w:val="center"/>
            <w:tcMar>
              <w:top w:w="80" w:type="dxa"/>
              <w:start w:w="120" w:type="dxa"/>
              <w:bottom w:w="80" w:type="dxa"/>
              <w:end w:w="120" w:type="dxa"/>
            </w:tcMar>
          </w:tcPr>
          <w:p>
            <w:r>
              <w:rPr>
                <w:sz w:val="18"/>
              </w:rPr>
              <w:t>docs/internal/wp6_sweep_full/summary_paired_combined_vs_regime.csv</w:t>
            </w:r>
          </w:p>
        </w:tc>
        <w:tc>
          <w:tcPr>
            <w:tcW w:type="dxa" w:w="2300"/>
            <w:vAlign w:val="center"/>
            <w:tcMar>
              <w:top w:w="80" w:type="dxa"/>
              <w:start w:w="120" w:type="dxa"/>
              <w:bottom w:w="80" w:type="dxa"/>
              <w:end w:w="120" w:type="dxa"/>
            </w:tcMar>
          </w:tcPr>
          <w:p>
            <w:r>
              <w:rPr>
                <w:sz w:val="18"/>
              </w:rPr>
              <w:t>2087FEFBE5DC...</w:t>
            </w:r>
          </w:p>
        </w:tc>
        <w:tc>
          <w:tcPr>
            <w:tcW w:type="dxa" w:w="1760"/>
            <w:vAlign w:val="center"/>
            <w:tcMar>
              <w:top w:w="80" w:type="dxa"/>
              <w:start w:w="120" w:type="dxa"/>
              <w:bottom w:w="80" w:type="dxa"/>
              <w:end w:w="120" w:type="dxa"/>
            </w:tcMar>
          </w:tcPr>
          <w:p>
            <w:r>
              <w:rPr>
                <w:sz w:val="18"/>
              </w:rPr>
              <w:t>MATCH</w:t>
            </w:r>
          </w:p>
        </w:tc>
      </w:tr>
    </w:tbl>
    <w:p/>
    <w:tbl>
      <w:tblPr>
        <w:tblStyle w:val="TableGrid"/>
        <w:tblW w:type="dxa" w:w="9360"/>
        <w:tblLook w:firstColumn="1" w:firstRow="1" w:lastColumn="0" w:lastRow="0" w:noHBand="0" w:noVBand="1" w:val="04A0"/>
        <w:tblInd w:w="120" w:type="dxa"/>
        <w:tblLayout w:type="fixed"/>
      </w:tblPr>
      <w:tblGrid>
        <w:gridCol w:w="4200"/>
        <w:gridCol w:w="5160"/>
      </w:tblGrid>
      <w:tr>
        <w:tc>
          <w:tcPr>
            <w:tcW w:type="dxa" w:w="4200"/>
            <w:shd w:fill="F2F4F7"/>
            <w:vAlign w:val="center"/>
            <w:tcMar>
              <w:top w:w="80" w:type="dxa"/>
              <w:start w:w="120" w:type="dxa"/>
              <w:bottom w:w="80" w:type="dxa"/>
              <w:end w:w="120" w:type="dxa"/>
            </w:tcMar>
          </w:tcPr>
          <w:p>
            <w:r>
              <w:rPr>
                <w:b/>
                <w:sz w:val="18"/>
              </w:rPr>
              <w:t>Reproducibility command</w:t>
            </w:r>
          </w:p>
        </w:tc>
        <w:tc>
          <w:tcPr>
            <w:tcW w:type="dxa" w:w="5160"/>
            <w:shd w:fill="F2F4F7"/>
            <w:vAlign w:val="center"/>
            <w:tcMar>
              <w:top w:w="80" w:type="dxa"/>
              <w:start w:w="120" w:type="dxa"/>
              <w:bottom w:w="80" w:type="dxa"/>
              <w:end w:w="120" w:type="dxa"/>
            </w:tcMar>
          </w:tcPr>
          <w:p>
            <w:r>
              <w:rPr>
                <w:b/>
                <w:sz w:val="18"/>
              </w:rPr>
              <w:t>Purpose</w:t>
            </w:r>
          </w:p>
        </w:tc>
      </w:tr>
      <w:tr>
        <w:tc>
          <w:tcPr>
            <w:tcW w:type="dxa" w:w="4200"/>
            <w:vAlign w:val="center"/>
            <w:tcMar>
              <w:top w:w="80" w:type="dxa"/>
              <w:start w:w="120" w:type="dxa"/>
              <w:bottom w:w="80" w:type="dxa"/>
              <w:end w:w="120" w:type="dxa"/>
            </w:tcMar>
          </w:tcPr>
          <w:p>
            <w:r>
              <w:rPr>
                <w:sz w:val="18"/>
              </w:rPr>
              <w:t>python -m venv .venv</w:t>
            </w:r>
          </w:p>
        </w:tc>
        <w:tc>
          <w:tcPr>
            <w:tcW w:type="dxa" w:w="5160"/>
            <w:vAlign w:val="center"/>
            <w:tcMar>
              <w:top w:w="80" w:type="dxa"/>
              <w:start w:w="120" w:type="dxa"/>
              <w:bottom w:w="80" w:type="dxa"/>
              <w:end w:w="120" w:type="dxa"/>
            </w:tcMar>
          </w:tcPr>
          <w:p>
            <w:r>
              <w:rPr>
                <w:sz w:val="18"/>
              </w:rPr>
              <w:t>Create environment.</w:t>
            </w:r>
          </w:p>
        </w:tc>
      </w:tr>
      <w:tr>
        <w:tc>
          <w:tcPr>
            <w:tcW w:type="dxa" w:w="4200"/>
            <w:vAlign w:val="center"/>
            <w:tcMar>
              <w:top w:w="80" w:type="dxa"/>
              <w:start w:w="120" w:type="dxa"/>
              <w:bottom w:w="80" w:type="dxa"/>
              <w:end w:w="120" w:type="dxa"/>
            </w:tcMar>
          </w:tcPr>
          <w:p>
            <w:r>
              <w:rPr>
                <w:sz w:val="18"/>
              </w:rPr>
              <w:t>&amp; .\.venv\Scripts\Activate.ps1</w:t>
            </w:r>
          </w:p>
        </w:tc>
        <w:tc>
          <w:tcPr>
            <w:tcW w:type="dxa" w:w="5160"/>
            <w:vAlign w:val="center"/>
            <w:tcMar>
              <w:top w:w="80" w:type="dxa"/>
              <w:start w:w="120" w:type="dxa"/>
              <w:bottom w:w="80" w:type="dxa"/>
              <w:end w:w="120" w:type="dxa"/>
            </w:tcMar>
          </w:tcPr>
          <w:p>
            <w:r>
              <w:rPr>
                <w:sz w:val="18"/>
              </w:rPr>
              <w:t>Activate environment on Windows PowerShell.</w:t>
            </w:r>
          </w:p>
        </w:tc>
      </w:tr>
      <w:tr>
        <w:tc>
          <w:tcPr>
            <w:tcW w:type="dxa" w:w="4200"/>
            <w:vAlign w:val="center"/>
            <w:tcMar>
              <w:top w:w="80" w:type="dxa"/>
              <w:start w:w="120" w:type="dxa"/>
              <w:bottom w:w="80" w:type="dxa"/>
              <w:end w:w="120" w:type="dxa"/>
            </w:tcMar>
          </w:tcPr>
          <w:p>
            <w:r>
              <w:rPr>
                <w:sz w:val="18"/>
              </w:rPr>
              <w:t>pip install -r requirements.txt</w:t>
            </w:r>
          </w:p>
        </w:tc>
        <w:tc>
          <w:tcPr>
            <w:tcW w:type="dxa" w:w="5160"/>
            <w:vAlign w:val="center"/>
            <w:tcMar>
              <w:top w:w="80" w:type="dxa"/>
              <w:start w:w="120" w:type="dxa"/>
              <w:bottom w:w="80" w:type="dxa"/>
              <w:end w:w="120" w:type="dxa"/>
            </w:tcMar>
          </w:tcPr>
          <w:p>
            <w:r>
              <w:rPr>
                <w:sz w:val="18"/>
              </w:rPr>
              <w:t>Install dependencies.</w:t>
            </w:r>
          </w:p>
        </w:tc>
      </w:tr>
      <w:tr>
        <w:tc>
          <w:tcPr>
            <w:tcW w:type="dxa" w:w="4200"/>
            <w:vAlign w:val="center"/>
            <w:tcMar>
              <w:top w:w="80" w:type="dxa"/>
              <w:start w:w="120" w:type="dxa"/>
              <w:bottom w:w="80" w:type="dxa"/>
              <w:end w:w="120" w:type="dxa"/>
            </w:tcMar>
          </w:tcPr>
          <w:p>
            <w:r>
              <w:rPr>
                <w:sz w:val="18"/>
              </w:rPr>
              <w:t>python run.py --config config/w5_main.json</w:t>
            </w:r>
          </w:p>
        </w:tc>
        <w:tc>
          <w:tcPr>
            <w:tcW w:type="dxa" w:w="5160"/>
            <w:vAlign w:val="center"/>
            <w:tcMar>
              <w:top w:w="80" w:type="dxa"/>
              <w:start w:w="120" w:type="dxa"/>
              <w:bottom w:w="80" w:type="dxa"/>
              <w:end w:w="120" w:type="dxa"/>
            </w:tcMar>
          </w:tcPr>
          <w:p>
            <w:r>
              <w:rPr>
                <w:sz w:val="18"/>
              </w:rPr>
              <w:t>Run main WP5 evaluation.</w:t>
            </w:r>
          </w:p>
        </w:tc>
      </w:tr>
      <w:tr>
        <w:tc>
          <w:tcPr>
            <w:tcW w:type="dxa" w:w="4200"/>
            <w:vAlign w:val="center"/>
            <w:tcMar>
              <w:top w:w="80" w:type="dxa"/>
              <w:start w:w="120" w:type="dxa"/>
              <w:bottom w:w="80" w:type="dxa"/>
              <w:end w:w="120" w:type="dxa"/>
            </w:tcMar>
          </w:tcPr>
          <w:p>
            <w:r>
              <w:rPr>
                <w:sz w:val="18"/>
              </w:rPr>
              <w:t>python run.py --config config/w6_sweep_full.json</w:t>
            </w:r>
          </w:p>
        </w:tc>
        <w:tc>
          <w:tcPr>
            <w:tcW w:type="dxa" w:w="5160"/>
            <w:vAlign w:val="center"/>
            <w:tcMar>
              <w:top w:w="80" w:type="dxa"/>
              <w:start w:w="120" w:type="dxa"/>
              <w:bottom w:w="80" w:type="dxa"/>
              <w:end w:w="120" w:type="dxa"/>
            </w:tcMar>
          </w:tcPr>
          <w:p>
            <w:r>
              <w:rPr>
                <w:sz w:val="18"/>
              </w:rPr>
              <w:t>Run WP6 sweep.</w:t>
            </w:r>
          </w:p>
        </w:tc>
      </w:tr>
      <w:tr>
        <w:tc>
          <w:tcPr>
            <w:tcW w:type="dxa" w:w="4200"/>
            <w:vAlign w:val="center"/>
            <w:tcMar>
              <w:top w:w="80" w:type="dxa"/>
              <w:start w:w="120" w:type="dxa"/>
              <w:bottom w:w="80" w:type="dxa"/>
              <w:end w:w="120" w:type="dxa"/>
            </w:tcMar>
          </w:tcPr>
          <w:p>
            <w:r>
              <w:rPr>
                <w:sz w:val="18"/>
              </w:rPr>
              <w:t>python run.py --config config/w6_sweep_full.json --resume &lt;run_id&gt;</w:t>
            </w:r>
          </w:p>
        </w:tc>
        <w:tc>
          <w:tcPr>
            <w:tcW w:type="dxa" w:w="5160"/>
            <w:vAlign w:val="center"/>
            <w:tcMar>
              <w:top w:w="80" w:type="dxa"/>
              <w:start w:w="120" w:type="dxa"/>
              <w:bottom w:w="80" w:type="dxa"/>
              <w:end w:w="120" w:type="dxa"/>
            </w:tcMar>
          </w:tcPr>
          <w:p>
            <w:r>
              <w:rPr>
                <w:sz w:val="18"/>
              </w:rPr>
              <w:t>Resume WP6 sweep.</w:t>
            </w:r>
          </w:p>
        </w:tc>
      </w:tr>
      <w:tr>
        <w:tc>
          <w:tcPr>
            <w:tcW w:type="dxa" w:w="4200"/>
            <w:vAlign w:val="center"/>
            <w:tcMar>
              <w:top w:w="80" w:type="dxa"/>
              <w:start w:w="120" w:type="dxa"/>
              <w:bottom w:w="80" w:type="dxa"/>
              <w:end w:w="120" w:type="dxa"/>
            </w:tcMar>
          </w:tcPr>
          <w:p>
            <w:r>
              <w:rPr>
                <w:sz w:val="18"/>
              </w:rPr>
              <w:t>ruff check src/</w:t>
            </w:r>
          </w:p>
        </w:tc>
        <w:tc>
          <w:tcPr>
            <w:tcW w:type="dxa" w:w="5160"/>
            <w:vAlign w:val="center"/>
            <w:tcMar>
              <w:top w:w="80" w:type="dxa"/>
              <w:start w:w="120" w:type="dxa"/>
              <w:bottom w:w="80" w:type="dxa"/>
              <w:end w:w="120" w:type="dxa"/>
            </w:tcMar>
          </w:tcPr>
          <w:p>
            <w:r>
              <w:rPr>
                <w:sz w:val="18"/>
              </w:rPr>
              <w:t>Lint source code.</w:t>
            </w:r>
          </w:p>
        </w:tc>
      </w:tr>
    </w:tbl>
    <w:p/>
    <w:p>
      <w:r>
        <w:t>These commands document reproducibility paths only; thesis_31 adaptation did not rerun experiments.</w:t>
      </w:r>
    </w:p>
    <w:p>
      <w:pPr>
        <w:pStyle w:val="Heading1"/>
      </w:pPr>
      <w:r>
        <w:t>12 Conclusion</w:t>
      </w:r>
    </w:p>
    <w:p>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pPr>
        <w:pStyle w:val="Heading1"/>
      </w:pPr>
      <w:r>
        <w:t>References</w:t>
      </w:r>
    </w:p>
    <w:p>
      <w:pPr>
        <w:ind w:left="360" w:hanging="360"/>
      </w:pPr>
      <w:r>
        <w:t>Avellaneda, M., &amp; Stoikov, S. (2008). High-frequency trading in a limit order book. Quantitative Finance, 8(3), 217-224. https://doi.org/10.1080/14697680701381228</w:t>
      </w:r>
    </w:p>
    <w:p>
      <w:pPr>
        <w:ind w:left="360" w:hanging="360"/>
      </w:pPr>
      <w:r>
        <w:t>Gueant, O., Lehalle, C.-A., &amp; Fernandez-Tapia, J. (2013). Dealing with the inventory risk: a solution to the market making problem. Mathematics and Financial Economics, 7, 477-507. https://doi.org/10.1007/s11579-012-0087-0</w:t>
      </w:r>
    </w:p>
    <w:p>
      <w:pPr>
        <w:ind w:left="360" w:hanging="360"/>
      </w:pPr>
      <w:r>
        <w:t>Spooner, T., Fearnley, J., Savani, R., &amp; Koukorinis, A. (2018). Market Making via Reinforcement Learning. Proceedings of the 17th International Conference on Autonomous Agents and MultiAgent Systems, 434-442.</w:t>
      </w:r>
    </w:p>
    <w:p>
      <w:pPr>
        <w:ind w:left="360" w:hanging="360"/>
      </w:pPr>
      <w:r>
        <w:t>Spooner, T., &amp; Savani, R. (2020). Robust market making via adversarial reinforcement learning. Proceedings of the Twenty-Ninth International Joint Conference on Artificial Intelligence, 4590-4596. https://doi.org/10.24963/ijcai.2020/633</w:t>
      </w:r>
    </w:p>
    <w:p>
      <w:pPr>
        <w:ind w:left="360" w:hanging="360"/>
      </w:pPr>
      <w:r>
        <w:t>Gasperov, B., &amp; Kostanjcar, Z. (2021). Market Making With Signals Through Deep Reinforcement Learning. IEEE Access, 9, 61611-61622. https://doi.org/10.1109/ACCESS.2021.3074782</w:t>
      </w:r>
    </w:p>
    <w:p>
      <w:pPr>
        <w:ind w:left="360" w:hanging="360"/>
      </w:pPr>
      <w:r>
        <w:t>Gasperov, B., Begusic, S., Posedel Simovic, P., &amp; Kostanjcar, Z. (2021). Reinforcement Learning Approaches to Optimal Market Making. Mathematics, 9(21), 2689. https://doi.org/10.3390/math9212689</w:t>
      </w:r>
    </w:p>
    <w:p>
      <w:pPr>
        <w:ind w:left="360" w:hanging="360"/>
      </w:pPr>
      <w:r>
        <w:t>Gasperov, B., &amp; Kostanjcar, Z. (2022). Deep Reinforcement Learning for Market Making Under a Hawkes Process-Based Limit Order Book Model. IEEE Control Systems Letters, 6, 2485-2490. https://doi.org/10.1109/LCSYS.2022.3166446</w:t>
      </w:r>
    </w:p>
    <w:p>
      <w:pPr>
        <w:ind w:left="360" w:hanging="360"/>
      </w:pPr>
      <w:r>
        <w:t>Schulman, J., Wolski, F., Dhariwal, P., Radford, A., &amp; Klimov, O. (2017). Proximal Policy Optimization Algorithms. arXiv:1707.06347.</w:t>
      </w:r>
    </w:p>
    <w:p>
      <w:pPr>
        <w:ind w:left="360" w:hanging="360"/>
      </w:pPr>
      <w:r>
        <w:t>Lakens, D. (2017). Equivalence tests: A practical primer for t tests, correlations, and meta-analyses. Social Psychological and Personality Science, 8(4), 355-362. https://doi.org/10.1177/1948550617697177</w:t>
      </w:r>
    </w:p>
    <w:p>
      <w:pPr>
        <w:ind w:left="360" w:hanging="360"/>
      </w:pPr>
      <w:r>
        <w:t>Lakens, D., Scheel, A. M., &amp; Isager, P. M. (2018). Equivalence testing for psychological research: A tutorial. Advances in Methods and Practices in Psychological Science, 1(2), 259-269. https://doi.org/10.1177/2515245918770963</w:t>
      </w:r>
    </w:p>
    <w:p>
      <w:pPr>
        <w:pStyle w:val="Heading1"/>
      </w:pPr>
      <w:r>
        <w:t>Appendix A Code Appendix</w:t>
      </w: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shd w:fill="F2F4F7"/>
            <w:vAlign w:val="center"/>
            <w:tcMar>
              <w:top w:w="80" w:type="dxa"/>
              <w:start w:w="120" w:type="dxa"/>
              <w:bottom w:w="80" w:type="dxa"/>
              <w:end w:w="120" w:type="dxa"/>
            </w:tcMar>
          </w:tcPr>
          <w:p>
            <w:r>
              <w:rPr>
                <w:b/>
                <w:sz w:val="18"/>
              </w:rPr>
              <w:t>Area</w:t>
            </w:r>
          </w:p>
        </w:tc>
        <w:tc>
          <w:tcPr>
            <w:tcW w:type="dxa" w:w="7060"/>
            <w:shd w:fill="F2F4F7"/>
            <w:vAlign w:val="center"/>
            <w:tcMar>
              <w:top w:w="80" w:type="dxa"/>
              <w:start w:w="120" w:type="dxa"/>
              <w:bottom w:w="80" w:type="dxa"/>
              <w:end w:w="120" w:type="dxa"/>
            </w:tcMar>
          </w:tcPr>
          <w:p>
            <w:r>
              <w:rPr>
                <w:b/>
                <w:sz w:val="18"/>
              </w:rPr>
              <w:t>Files</w:t>
            </w:r>
          </w:p>
        </w:tc>
      </w:tr>
      <w:tr>
        <w:tc>
          <w:tcPr>
            <w:tcW w:type="dxa" w:w="2300"/>
            <w:vAlign w:val="center"/>
            <w:tcMar>
              <w:top w:w="80" w:type="dxa"/>
              <w:start w:w="120" w:type="dxa"/>
              <w:bottom w:w="80" w:type="dxa"/>
              <w:end w:w="120" w:type="dxa"/>
            </w:tcMar>
          </w:tcPr>
          <w:p>
            <w:r>
              <w:rPr>
                <w:sz w:val="18"/>
              </w:rPr>
              <w:t>Run management</w:t>
            </w:r>
          </w:p>
        </w:tc>
        <w:tc>
          <w:tcPr>
            <w:tcW w:type="dxa" w:w="7060"/>
            <w:vAlign w:val="center"/>
            <w:tcMar>
              <w:top w:w="80" w:type="dxa"/>
              <w:start w:w="120" w:type="dxa"/>
              <w:bottom w:w="80" w:type="dxa"/>
              <w:end w:w="120" w:type="dxa"/>
            </w:tcMar>
          </w:tcPr>
          <w:p>
            <w:r>
              <w:rPr>
                <w:sz w:val="18"/>
              </w:rPr>
              <w:t>run.py; src/run_context.py</w:t>
            </w:r>
          </w:p>
        </w:tc>
      </w:tr>
      <w:tr>
        <w:tc>
          <w:tcPr>
            <w:tcW w:type="dxa" w:w="2300"/>
            <w:vAlign w:val="center"/>
            <w:tcMar>
              <w:top w:w="80" w:type="dxa"/>
              <w:start w:w="120" w:type="dxa"/>
              <w:bottom w:w="80" w:type="dxa"/>
              <w:end w:w="120" w:type="dxa"/>
            </w:tcMar>
          </w:tcPr>
          <w:p>
            <w:r>
              <w:rPr>
                <w:sz w:val="18"/>
              </w:rPr>
              <w:t>Simulation</w:t>
            </w:r>
          </w:p>
        </w:tc>
        <w:tc>
          <w:tcPr>
            <w:tcW w:type="dxa" w:w="7060"/>
            <w:vAlign w:val="center"/>
            <w:tcMar>
              <w:top w:w="80" w:type="dxa"/>
              <w:start w:w="120" w:type="dxa"/>
              <w:bottom w:w="80" w:type="dxa"/>
              <w:end w:w="120" w:type="dxa"/>
            </w:tcMar>
          </w:tcPr>
          <w:p>
            <w:r>
              <w:rPr>
                <w:sz w:val="18"/>
              </w:rPr>
              <w:t>src/wp1/sim.py; src/wp1/w1_as_baseline.py</w:t>
            </w:r>
          </w:p>
        </w:tc>
      </w:tr>
      <w:tr>
        <w:tc>
          <w:tcPr>
            <w:tcW w:type="dxa" w:w="2300"/>
            <w:vAlign w:val="center"/>
            <w:tcMar>
              <w:top w:w="80" w:type="dxa"/>
              <w:start w:w="120" w:type="dxa"/>
              <w:bottom w:w="80" w:type="dxa"/>
              <w:end w:w="120" w:type="dxa"/>
            </w:tcMar>
          </w:tcPr>
          <w:p>
            <w:r>
              <w:rPr>
                <w:sz w:val="18"/>
              </w:rPr>
              <w:t>Regimes</w:t>
            </w:r>
          </w:p>
        </w:tc>
        <w:tc>
          <w:tcPr>
            <w:tcW w:type="dxa" w:w="7060"/>
            <w:vAlign w:val="center"/>
            <w:tcMar>
              <w:top w:w="80" w:type="dxa"/>
              <w:start w:w="120" w:type="dxa"/>
              <w:bottom w:w="80" w:type="dxa"/>
              <w:end w:w="120" w:type="dxa"/>
            </w:tcMar>
          </w:tcPr>
          <w:p>
            <w:r>
              <w:rPr>
                <w:sz w:val="18"/>
              </w:rPr>
              <w:t>src/wp2/synth_regime.py; src/wp2/job_w2_synth.py</w:t>
            </w:r>
          </w:p>
        </w:tc>
      </w:tr>
      <w:tr>
        <w:tc>
          <w:tcPr>
            <w:tcW w:type="dxa" w:w="2300"/>
            <w:vAlign w:val="center"/>
            <w:tcMar>
              <w:top w:w="80" w:type="dxa"/>
              <w:start w:w="120" w:type="dxa"/>
              <w:bottom w:w="80" w:type="dxa"/>
              <w:end w:w="120" w:type="dxa"/>
            </w:tcMar>
          </w:tcPr>
          <w:p>
            <w:r>
              <w:rPr>
                <w:sz w:val="18"/>
              </w:rPr>
              <w:t>Environment</w:t>
            </w:r>
          </w:p>
        </w:tc>
        <w:tc>
          <w:tcPr>
            <w:tcW w:type="dxa" w:w="7060"/>
            <w:vAlign w:val="center"/>
            <w:tcMar>
              <w:top w:w="80" w:type="dxa"/>
              <w:start w:w="120" w:type="dxa"/>
              <w:bottom w:w="80" w:type="dxa"/>
              <w:end w:w="120" w:type="dxa"/>
            </w:tcMar>
          </w:tcPr>
          <w:p>
            <w:r>
              <w:rPr>
                <w:sz w:val="18"/>
              </w:rPr>
              <w:t>src/wp3/env.py; src/wp3/w3_sanity.py</w:t>
            </w:r>
          </w:p>
        </w:tc>
      </w:tr>
      <w:tr>
        <w:tc>
          <w:tcPr>
            <w:tcW w:type="dxa" w:w="2300"/>
            <w:vAlign w:val="center"/>
            <w:tcMar>
              <w:top w:w="80" w:type="dxa"/>
              <w:start w:w="120" w:type="dxa"/>
              <w:bottom w:w="80" w:type="dxa"/>
              <w:end w:w="120" w:type="dxa"/>
            </w:tcMar>
          </w:tcPr>
          <w:p>
            <w:r>
              <w:rPr>
                <w:sz w:val="18"/>
              </w:rPr>
              <w:t>PPO training</w:t>
            </w:r>
          </w:p>
        </w:tc>
        <w:tc>
          <w:tcPr>
            <w:tcW w:type="dxa" w:w="7060"/>
            <w:vAlign w:val="center"/>
            <w:tcMar>
              <w:top w:w="80" w:type="dxa"/>
              <w:start w:w="120" w:type="dxa"/>
              <w:bottom w:w="80" w:type="dxa"/>
              <w:end w:w="120" w:type="dxa"/>
            </w:tcMar>
          </w:tcPr>
          <w:p>
            <w:r>
              <w:rPr>
                <w:sz w:val="18"/>
              </w:rPr>
              <w:t>src/wp4/job_w4_ppo.py</w:t>
            </w:r>
          </w:p>
        </w:tc>
      </w:tr>
      <w:tr>
        <w:tc>
          <w:tcPr>
            <w:tcW w:type="dxa" w:w="2300"/>
            <w:vAlign w:val="center"/>
            <w:tcMar>
              <w:top w:w="80" w:type="dxa"/>
              <w:start w:w="120" w:type="dxa"/>
              <w:bottom w:w="80" w:type="dxa"/>
              <w:end w:w="120" w:type="dxa"/>
            </w:tcMar>
          </w:tcPr>
          <w:p>
            <w:r>
              <w:rPr>
                <w:sz w:val="18"/>
              </w:rPr>
              <w:t>Evaluation</w:t>
            </w:r>
          </w:p>
        </w:tc>
        <w:tc>
          <w:tcPr>
            <w:tcW w:type="dxa" w:w="7060"/>
            <w:vAlign w:val="center"/>
            <w:tcMar>
              <w:top w:w="80" w:type="dxa"/>
              <w:start w:w="120" w:type="dxa"/>
              <w:bottom w:w="80" w:type="dxa"/>
              <w:end w:w="120" w:type="dxa"/>
            </w:tcMar>
          </w:tcPr>
          <w:p>
            <w:r>
              <w:rPr>
                <w:sz w:val="18"/>
              </w:rPr>
              <w:t>src/wp5/job_w5_eval.py; src/wp5/job_w5_detector_compare.py</w:t>
            </w:r>
          </w:p>
        </w:tc>
      </w:tr>
      <w:tr>
        <w:tc>
          <w:tcPr>
            <w:tcW w:type="dxa" w:w="2300"/>
            <w:vAlign w:val="center"/>
            <w:tcMar>
              <w:top w:w="80" w:type="dxa"/>
              <w:start w:w="120" w:type="dxa"/>
              <w:bottom w:w="80" w:type="dxa"/>
              <w:end w:w="120" w:type="dxa"/>
            </w:tcMar>
          </w:tcPr>
          <w:p>
            <w:r>
              <w:rPr>
                <w:sz w:val="18"/>
              </w:rPr>
              <w:t>Signal audit and sweep</w:t>
            </w:r>
          </w:p>
        </w:tc>
        <w:tc>
          <w:tcPr>
            <w:tcW w:type="dxa" w:w="7060"/>
            <w:vAlign w:val="center"/>
            <w:tcMar>
              <w:top w:w="80" w:type="dxa"/>
              <w:start w:w="120" w:type="dxa"/>
              <w:bottom w:w="80" w:type="dxa"/>
              <w:end w:w="120" w:type="dxa"/>
            </w:tcMar>
          </w:tcPr>
          <w:p>
            <w:r>
              <w:rPr>
                <w:sz w:val="18"/>
              </w:rPr>
              <w:t>src/wp5_5/*; src/wp6/job_w6_sweep_full.py</w:t>
            </w:r>
          </w:p>
        </w:tc>
      </w:tr>
    </w:tbl>
    <w:p/>
    <w:p>
      <w:pPr>
        <w:pStyle w:val="Heading3"/>
      </w:pPr>
      <w:r>
        <w:t>Canonical commands</w:t>
      </w:r>
    </w:p>
    <w:p>
      <w:r>
        <w:rPr>
          <w:rFonts w:ascii="Consolas" w:hAnsi="Consolas" w:eastAsia="Consolas"/>
          <w:sz w:val="18"/>
        </w:rPr>
        <w:t>python run.py --config config/w5_main.json</w:t>
      </w:r>
    </w:p>
    <w:p>
      <w:r>
        <w:rPr>
          <w:rFonts w:ascii="Consolas" w:hAnsi="Consolas" w:eastAsia="Consolas"/>
          <w:sz w:val="18"/>
        </w:rPr>
        <w:t>python run.py --config config/w5_detector_full.json</w:t>
      </w:r>
    </w:p>
    <w:p>
      <w:r>
        <w:rPr>
          <w:rFonts w:ascii="Consolas" w:hAnsi="Consolas" w:eastAsia="Consolas"/>
          <w:sz w:val="18"/>
        </w:rPr>
        <w:t>python run.py --config config/w5_eta_regime.json</w:t>
      </w:r>
    </w:p>
    <w:p>
      <w:r>
        <w:rPr>
          <w:rFonts w:ascii="Consolas" w:hAnsi="Consolas" w:eastAsia="Consolas"/>
          <w:sz w:val="18"/>
        </w:rPr>
        <w:t>python run.py --config config/w5_misspec_mild.json</w:t>
      </w:r>
    </w:p>
    <w:p>
      <w:r>
        <w:rPr>
          <w:rFonts w:ascii="Consolas" w:hAnsi="Consolas" w:eastAsia="Consolas"/>
          <w:sz w:val="18"/>
        </w:rPr>
        <w:t>python run.py --config config/w6_sweep_full.json</w:t>
      </w:r>
    </w:p>
    <w:p/>
    <w:p>
      <w:pPr>
        <w:pStyle w:val="Heading1"/>
      </w:pPr>
      <w:r>
        <w:t>Appendix B Sanity Checks and Unit Tests</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r>
              <w:rPr>
                <w:b/>
                <w:sz w:val="18"/>
              </w:rPr>
              <w:t>Check</w:t>
            </w:r>
          </w:p>
        </w:tc>
        <w:tc>
          <w:tcPr>
            <w:tcW w:type="dxa" w:w="6060"/>
            <w:shd w:fill="F2F4F7"/>
            <w:vAlign w:val="center"/>
            <w:tcMar>
              <w:top w:w="80" w:type="dxa"/>
              <w:start w:w="120" w:type="dxa"/>
              <w:bottom w:w="80" w:type="dxa"/>
              <w:end w:w="120" w:type="dxa"/>
            </w:tcMar>
          </w:tcPr>
          <w:p>
            <w:r>
              <w:rPr>
                <w:b/>
                <w:sz w:val="18"/>
              </w:rPr>
              <w:t>Purpose</w:t>
            </w:r>
          </w:p>
        </w:tc>
      </w:tr>
      <w:tr>
        <w:tc>
          <w:tcPr>
            <w:tcW w:type="dxa" w:w="3300"/>
            <w:vAlign w:val="center"/>
            <w:tcMar>
              <w:top w:w="80" w:type="dxa"/>
              <w:start w:w="120" w:type="dxa"/>
              <w:bottom w:w="80" w:type="dxa"/>
              <w:end w:w="120" w:type="dxa"/>
            </w:tcMar>
          </w:tcPr>
          <w:p>
            <w:r>
              <w:rPr>
                <w:sz w:val="18"/>
              </w:rPr>
              <w:t>tests/test_csv_metric_logger.py</w:t>
            </w:r>
          </w:p>
        </w:tc>
        <w:tc>
          <w:tcPr>
            <w:tcW w:type="dxa" w:w="6060"/>
            <w:vAlign w:val="center"/>
            <w:tcMar>
              <w:top w:w="80" w:type="dxa"/>
              <w:start w:w="120" w:type="dxa"/>
              <w:bottom w:w="80" w:type="dxa"/>
              <w:end w:w="120" w:type="dxa"/>
            </w:tcMar>
          </w:tcPr>
          <w:p>
            <w:r>
              <w:rPr>
                <w:sz w:val="18"/>
              </w:rPr>
              <w:t>Verifies stable CSV metric schema behavior.</w:t>
            </w:r>
          </w:p>
        </w:tc>
      </w:tr>
      <w:tr>
        <w:tc>
          <w:tcPr>
            <w:tcW w:type="dxa" w:w="3300"/>
            <w:vAlign w:val="center"/>
            <w:tcMar>
              <w:top w:w="80" w:type="dxa"/>
              <w:start w:w="120" w:type="dxa"/>
              <w:bottom w:w="80" w:type="dxa"/>
              <w:end w:w="120" w:type="dxa"/>
            </w:tcMar>
          </w:tcPr>
          <w:p>
            <w:r>
              <w:rPr>
                <w:sz w:val="18"/>
              </w:rPr>
              <w:t>tests/test_resume_validation.py</w:t>
            </w:r>
          </w:p>
        </w:tc>
        <w:tc>
          <w:tcPr>
            <w:tcW w:type="dxa" w:w="6060"/>
            <w:vAlign w:val="center"/>
            <w:tcMar>
              <w:top w:w="80" w:type="dxa"/>
              <w:start w:w="120" w:type="dxa"/>
              <w:bottom w:w="80" w:type="dxa"/>
              <w:end w:w="120" w:type="dxa"/>
            </w:tcMar>
          </w:tcPr>
          <w:p>
            <w:r>
              <w:rPr>
                <w:sz w:val="18"/>
              </w:rPr>
              <w:t>Verifies resume-mode config validation.</w:t>
            </w:r>
          </w:p>
        </w:tc>
      </w:tr>
      <w:tr>
        <w:tc>
          <w:tcPr>
            <w:tcW w:type="dxa" w:w="3300"/>
            <w:vAlign w:val="center"/>
            <w:tcMar>
              <w:top w:w="80" w:type="dxa"/>
              <w:start w:w="120" w:type="dxa"/>
              <w:bottom w:w="80" w:type="dxa"/>
              <w:end w:w="120" w:type="dxa"/>
            </w:tcMar>
          </w:tcPr>
          <w:p>
            <w:r>
              <w:rPr>
                <w:sz w:val="18"/>
              </w:rPr>
              <w:t>WP3 sanity checks</w:t>
            </w:r>
          </w:p>
        </w:tc>
        <w:tc>
          <w:tcPr>
            <w:tcW w:type="dxa" w:w="6060"/>
            <w:vAlign w:val="center"/>
            <w:tcMar>
              <w:top w:w="80" w:type="dxa"/>
              <w:start w:w="120" w:type="dxa"/>
              <w:bottom w:w="80" w:type="dxa"/>
              <w:end w:w="120" w:type="dxa"/>
            </w:tcMar>
          </w:tcPr>
          <w:p>
            <w:r>
              <w:rPr>
                <w:sz w:val="18"/>
              </w:rPr>
              <w:t>Exercises naive, AS, and random policies through the Gymnasium environment.</w:t>
            </w:r>
          </w:p>
        </w:tc>
      </w:tr>
      <w:tr>
        <w:tc>
          <w:tcPr>
            <w:tcW w:type="dxa" w:w="3300"/>
            <w:vAlign w:val="center"/>
            <w:tcMar>
              <w:top w:w="80" w:type="dxa"/>
              <w:start w:w="120" w:type="dxa"/>
              <w:bottom w:w="80" w:type="dxa"/>
              <w:end w:w="120" w:type="dxa"/>
            </w:tcMar>
          </w:tcPr>
          <w:p>
            <w:r>
              <w:rPr>
                <w:sz w:val="18"/>
              </w:rPr>
              <w:t>Figure/path checks</w:t>
            </w:r>
          </w:p>
        </w:tc>
        <w:tc>
          <w:tcPr>
            <w:tcW w:type="dxa" w:w="6060"/>
            <w:vAlign w:val="center"/>
            <w:tcMar>
              <w:top w:w="80" w:type="dxa"/>
              <w:start w:w="120" w:type="dxa"/>
              <w:bottom w:w="80" w:type="dxa"/>
              <w:end w:w="120" w:type="dxa"/>
            </w:tcMar>
          </w:tcPr>
          <w:p>
            <w:r>
              <w:rPr>
                <w:sz w:val="18"/>
              </w:rPr>
              <w:t>Ensures thesis_31 references existing frozen figure files.</w:t>
            </w:r>
          </w:p>
        </w:tc>
      </w:tr>
      <w:tr>
        <w:tc>
          <w:tcPr>
            <w:tcW w:type="dxa" w:w="3300"/>
            <w:vAlign w:val="center"/>
            <w:tcMar>
              <w:top w:w="80" w:type="dxa"/>
              <w:start w:w="120" w:type="dxa"/>
              <w:bottom w:w="80" w:type="dxa"/>
              <w:end w:w="120" w:type="dxa"/>
            </w:tcMar>
          </w:tcPr>
          <w:p>
            <w:r>
              <w:rPr>
                <w:sz w:val="18"/>
              </w:rPr>
              <w:t>Forbidden phrase scan</w:t>
            </w:r>
          </w:p>
        </w:tc>
        <w:tc>
          <w:tcPr>
            <w:tcW w:type="dxa" w:w="6060"/>
            <w:vAlign w:val="center"/>
            <w:tcMar>
              <w:top w:w="80" w:type="dxa"/>
              <w:start w:w="120" w:type="dxa"/>
              <w:bottom w:w="80" w:type="dxa"/>
              <w:end w:w="120" w:type="dxa"/>
            </w:tcMar>
          </w:tcPr>
          <w:p>
            <w:r>
              <w:rPr>
                <w:sz w:val="18"/>
              </w:rPr>
              <w:t>Guards against overclaims in the generated draft.</w:t>
            </w:r>
          </w:p>
        </w:tc>
      </w:tr>
    </w:tbl>
    <w:p/>
    <w:p>
      <w:pPr>
        <w:pStyle w:val="Heading1"/>
      </w:pPr>
      <w:r>
        <w:t>Appendix C Extended Evidence Tables</w:t>
      </w:r>
    </w:p>
    <w:p>
      <w:r>
        <w:t>This appendix contains diagnostic material demoted from the main body to keep the report template focused.</w:t>
      </w:r>
    </w:p>
    <w:p>
      <w:pPr>
        <w:keepNext/>
        <w:keepLines/>
        <w:jc w:val="center"/>
      </w:pPr>
      <w:r>
        <w:drawing>
          <wp:inline xmlns:a="http://schemas.openxmlformats.org/drawingml/2006/main" xmlns:pic="http://schemas.openxmlformats.org/drawingml/2006/picture">
            <wp:extent cx="5257800" cy="3154680"/>
            <wp:docPr id="11" name="Picture 11"/>
            <wp:cNvGraphicFramePr>
              <a:graphicFrameLocks noChangeAspect="1"/>
            </wp:cNvGraphicFramePr>
            <a:graphic>
              <a:graphicData uri="http://schemas.openxmlformats.org/drawingml/2006/picture">
                <pic:pic>
                  <pic:nvPicPr>
                    <pic:cNvPr id="0" name="fig5_action_analysis.png"/>
                    <pic:cNvPicPr/>
                  </pic:nvPicPr>
                  <pic:blipFill>
                    <a:blip r:embed="rId21"/>
                    <a:stretch>
                      <a:fillRect/>
                    </a:stretch>
                  </pic:blipFill>
                  <pic:spPr>
                    <a:xfrm>
                      <a:off x="0" y="0"/>
                      <a:ext cx="5257800" cy="3154680"/>
                    </a:xfrm>
                    <a:prstGeom prst="rect"/>
                  </pic:spPr>
                </pic:pic>
              </a:graphicData>
            </a:graphic>
          </wp:inline>
        </w:drawing>
      </w:r>
    </w:p>
    <w:p>
      <w:pPr>
        <w:pStyle w:val="Caption"/>
        <w:keepLines/>
        <w:jc w:val="center"/>
      </w:pPr>
      <w:r>
        <w:t>Appendix Figure C1. Regime-wise action distribution diagnostic.</w:t>
      </w:r>
    </w:p>
    <w:p>
      <w:pPr>
        <w:keepNext/>
        <w:keepLines/>
        <w:jc w:val="center"/>
      </w:pPr>
      <w:r>
        <w:drawing>
          <wp:inline xmlns:a="http://schemas.openxmlformats.org/drawingml/2006/main" xmlns:pic="http://schemas.openxmlformats.org/drawingml/2006/picture">
            <wp:extent cx="5257800" cy="2060489"/>
            <wp:docPr id="12" name="Picture 12"/>
            <wp:cNvGraphicFramePr>
              <a:graphicFrameLocks noChangeAspect="1"/>
            </wp:cNvGraphicFramePr>
            <a:graphic>
              <a:graphicData uri="http://schemas.openxmlformats.org/drawingml/2006/picture">
                <pic:pic>
                  <pic:nvPicPr>
                    <pic:cNvPr id="0" name="fig3_regime_sharpe.png"/>
                    <pic:cNvPicPr/>
                  </pic:nvPicPr>
                  <pic:blipFill>
                    <a:blip r:embed="rId22"/>
                    <a:stretch>
                      <a:fillRect/>
                    </a:stretch>
                  </pic:blipFill>
                  <pic:spPr>
                    <a:xfrm>
                      <a:off x="0" y="0"/>
                      <a:ext cx="5257800" cy="2060489"/>
                    </a:xfrm>
                    <a:prstGeom prst="rect"/>
                  </pic:spPr>
                </pic:pic>
              </a:graphicData>
            </a:graphic>
          </wp:inline>
        </w:drawing>
      </w:r>
    </w:p>
    <w:p>
      <w:pPr>
        <w:pStyle w:val="Caption"/>
        <w:keepLines/>
        <w:jc w:val="center"/>
      </w:pPr>
      <w:r>
        <w:t>Appendix Figure C2. Regime-wise Sharpe diagnostic.</w:t>
      </w:r>
    </w:p>
    <w:p>
      <w:r>
        <w:br w:type="page"/>
      </w:r>
    </w:p>
    <w:p>
      <w:r>
        <w:t>The table below summarizes supporting diagnostics. These items support interpretation and provenance; they do not replace the canonical WP5/WP6 evidence chain used for the main claims.</w:t>
      </w:r>
    </w:p>
    <w:tbl>
      <w:tblPr>
        <w:tblStyle w:val="TableGrid"/>
        <w:tblW w:type="dxa" w:w="9360"/>
        <w:tblLook w:firstColumn="1" w:firstRow="1" w:lastColumn="0" w:lastRow="0" w:noHBand="0" w:noVBand="1" w:val="04A0"/>
        <w:tblInd w:w="120" w:type="dxa"/>
        <w:tblLayout w:type="fixed"/>
      </w:tblPr>
      <w:tblGrid>
        <w:gridCol w:w="2800"/>
        <w:gridCol w:w="2200"/>
        <w:gridCol w:w="4360"/>
      </w:tblGrid>
      <w:tr>
        <w:tc>
          <w:tcPr>
            <w:tcW w:type="dxa" w:w="2800"/>
            <w:shd w:fill="F2F4F7"/>
            <w:vAlign w:val="center"/>
            <w:tcMar>
              <w:top w:w="80" w:type="dxa"/>
              <w:start w:w="120" w:type="dxa"/>
              <w:bottom w:w="80" w:type="dxa"/>
              <w:end w:w="120" w:type="dxa"/>
            </w:tcMar>
          </w:tcPr>
          <w:p>
            <w:r>
              <w:rPr>
                <w:b/>
                <w:sz w:val="18"/>
              </w:rPr>
              <w:t>Diagnostic</w:t>
            </w:r>
          </w:p>
        </w:tc>
        <w:tc>
          <w:tcPr>
            <w:tcW w:type="dxa" w:w="2200"/>
            <w:shd w:fill="F2F4F7"/>
            <w:vAlign w:val="center"/>
            <w:tcMar>
              <w:top w:w="80" w:type="dxa"/>
              <w:start w:w="120" w:type="dxa"/>
              <w:bottom w:w="80" w:type="dxa"/>
              <w:end w:w="120" w:type="dxa"/>
            </w:tcMar>
          </w:tcPr>
          <w:p>
            <w:r>
              <w:rPr>
                <w:b/>
                <w:sz w:val="18"/>
              </w:rPr>
              <w:t>Status</w:t>
            </w:r>
          </w:p>
        </w:tc>
        <w:tc>
          <w:tcPr>
            <w:tcW w:type="dxa" w:w="4360"/>
            <w:shd w:fill="F2F4F7"/>
            <w:vAlign w:val="center"/>
            <w:tcMar>
              <w:top w:w="80" w:type="dxa"/>
              <w:start w:w="120" w:type="dxa"/>
              <w:bottom w:w="80" w:type="dxa"/>
              <w:end w:w="120" w:type="dxa"/>
            </w:tcMar>
          </w:tcPr>
          <w:p>
            <w:r>
              <w:rPr>
                <w:b/>
                <w:sz w:val="18"/>
              </w:rPr>
              <w:t>Interpretation</w:t>
            </w:r>
          </w:p>
        </w:tc>
      </w:tr>
      <w:tr>
        <w:tc>
          <w:tcPr>
            <w:tcW w:type="dxa" w:w="2800"/>
            <w:vAlign w:val="center"/>
            <w:tcMar>
              <w:top w:w="80" w:type="dxa"/>
              <w:start w:w="120" w:type="dxa"/>
              <w:bottom w:w="80" w:type="dxa"/>
              <w:end w:w="120" w:type="dxa"/>
            </w:tcMar>
          </w:tcPr>
          <w:p>
            <w:r>
              <w:rPr>
                <w:sz w:val="18"/>
              </w:rPr>
              <w:t>Post-hoc signal diagnostics</w:t>
            </w:r>
          </w:p>
        </w:tc>
        <w:tc>
          <w:tcPr>
            <w:tcW w:type="dxa" w:w="2200"/>
            <w:vAlign w:val="center"/>
            <w:tcMar>
              <w:top w:w="80" w:type="dxa"/>
              <w:start w:w="120" w:type="dxa"/>
              <w:bottom w:w="80" w:type="dxa"/>
              <w:end w:w="120" w:type="dxa"/>
            </w:tcMar>
          </w:tcPr>
          <w:p>
            <w:r>
              <w:rPr>
                <w:sz w:val="18"/>
              </w:rPr>
              <w:t>Supporting only</w:t>
            </w:r>
          </w:p>
        </w:tc>
        <w:tc>
          <w:tcPr>
            <w:tcW w:type="dxa" w:w="4360"/>
            <w:vAlign w:val="center"/>
            <w:tcMar>
              <w:top w:w="80" w:type="dxa"/>
              <w:start w:w="120" w:type="dxa"/>
              <w:bottom w:w="80" w:type="dxa"/>
              <w:end w:w="120" w:type="dxa"/>
            </w:tcMar>
          </w:tcPr>
          <w:p>
            <w:r>
              <w:rPr>
                <w:sz w:val="18"/>
              </w:rPr>
              <w:t>Consistent with signal redundancy but not primary evidence.</w:t>
            </w:r>
          </w:p>
        </w:tc>
      </w:tr>
      <w:tr>
        <w:tc>
          <w:tcPr>
            <w:tcW w:type="dxa" w:w="2800"/>
            <w:vAlign w:val="center"/>
            <w:tcMar>
              <w:top w:w="80" w:type="dxa"/>
              <w:start w:w="120" w:type="dxa"/>
              <w:bottom w:w="80" w:type="dxa"/>
              <w:end w:w="120" w:type="dxa"/>
            </w:tcMar>
          </w:tcPr>
          <w:p>
            <w:r>
              <w:rPr>
                <w:sz w:val="18"/>
              </w:rPr>
              <w:t>WP5.5 signal audit</w:t>
            </w:r>
          </w:p>
        </w:tc>
        <w:tc>
          <w:tcPr>
            <w:tcW w:type="dxa" w:w="2200"/>
            <w:vAlign w:val="center"/>
            <w:tcMar>
              <w:top w:w="80" w:type="dxa"/>
              <w:start w:w="120" w:type="dxa"/>
              <w:bottom w:w="80" w:type="dxa"/>
              <w:end w:w="120" w:type="dxa"/>
            </w:tcMar>
          </w:tcPr>
          <w:p>
            <w:r>
              <w:rPr>
                <w:sz w:val="18"/>
              </w:rPr>
              <w:t>Offline calibration</w:t>
            </w:r>
          </w:p>
        </w:tc>
        <w:tc>
          <w:tcPr>
            <w:tcW w:type="dxa" w:w="4360"/>
            <w:vAlign w:val="center"/>
            <w:tcMar>
              <w:top w:w="80" w:type="dxa"/>
              <w:start w:w="120" w:type="dxa"/>
              <w:bottom w:w="80" w:type="dxa"/>
              <w:end w:w="120" w:type="dxa"/>
            </w:tcMar>
          </w:tcPr>
          <w:p>
            <w:r>
              <w:rPr>
                <w:sz w:val="18"/>
              </w:rPr>
              <w:t>Supports WP6 degradation design; no PPO training.</w:t>
            </w:r>
          </w:p>
        </w:tc>
      </w:tr>
      <w:tr>
        <w:tc>
          <w:tcPr>
            <w:tcW w:type="dxa" w:w="2800"/>
            <w:vAlign w:val="center"/>
            <w:tcMar>
              <w:top w:w="80" w:type="dxa"/>
              <w:start w:w="120" w:type="dxa"/>
              <w:bottom w:w="80" w:type="dxa"/>
              <w:end w:w="120" w:type="dxa"/>
            </w:tcMar>
          </w:tcPr>
          <w:p>
            <w:r>
              <w:rPr>
                <w:sz w:val="18"/>
              </w:rPr>
              <w:t>Detector robustness statistics</w:t>
            </w:r>
          </w:p>
        </w:tc>
        <w:tc>
          <w:tcPr>
            <w:tcW w:type="dxa" w:w="2200"/>
            <w:vAlign w:val="center"/>
            <w:tcMar>
              <w:top w:w="80" w:type="dxa"/>
              <w:start w:w="120" w:type="dxa"/>
              <w:bottom w:w="80" w:type="dxa"/>
              <w:end w:w="120" w:type="dxa"/>
            </w:tcMar>
          </w:tcPr>
          <w:p>
            <w:r>
              <w:rPr>
                <w:sz w:val="18"/>
              </w:rPr>
              <w:t>Protected evidence</w:t>
            </w:r>
          </w:p>
        </w:tc>
        <w:tc>
          <w:tcPr>
            <w:tcW w:type="dxa" w:w="4360"/>
            <w:vAlign w:val="center"/>
            <w:tcMar>
              <w:top w:w="80" w:type="dxa"/>
              <w:start w:w="120" w:type="dxa"/>
              <w:bottom w:w="80" w:type="dxa"/>
              <w:end w:w="120" w:type="dxa"/>
            </w:tcMar>
          </w:tcPr>
          <w:p>
            <w:r>
              <w:rPr>
                <w:sz w:val="18"/>
              </w:rPr>
              <w:t>Addresses poor-detector objection without changing main detector caveat.</w:t>
            </w:r>
          </w:p>
        </w:tc>
      </w:tr>
      <w:tr>
        <w:tc>
          <w:tcPr>
            <w:tcW w:type="dxa" w:w="2800"/>
            <w:vAlign w:val="center"/>
            <w:tcMar>
              <w:top w:w="80" w:type="dxa"/>
              <w:start w:w="120" w:type="dxa"/>
              <w:bottom w:w="80" w:type="dxa"/>
              <w:end w:w="120" w:type="dxa"/>
            </w:tcMar>
          </w:tcPr>
          <w:p>
            <w:r>
              <w:rPr>
                <w:sz w:val="18"/>
              </w:rPr>
              <w:t>WP6 paired summaries</w:t>
            </w:r>
          </w:p>
        </w:tc>
        <w:tc>
          <w:tcPr>
            <w:tcW w:type="dxa" w:w="2200"/>
            <w:vAlign w:val="center"/>
            <w:tcMar>
              <w:top w:w="80" w:type="dxa"/>
              <w:start w:w="120" w:type="dxa"/>
              <w:bottom w:w="80" w:type="dxa"/>
              <w:end w:w="120" w:type="dxa"/>
            </w:tcMar>
          </w:tcPr>
          <w:p>
            <w:r>
              <w:rPr>
                <w:sz w:val="18"/>
              </w:rPr>
              <w:t>Protected evidence</w:t>
            </w:r>
          </w:p>
        </w:tc>
        <w:tc>
          <w:tcPr>
            <w:tcW w:type="dxa" w:w="4360"/>
            <w:vAlign w:val="center"/>
            <w:tcMar>
              <w:top w:w="80" w:type="dxa"/>
              <w:start w:w="120" w:type="dxa"/>
              <w:bottom w:w="80" w:type="dxa"/>
              <w:end w:w="120" w:type="dxa"/>
            </w:tcMar>
          </w:tcPr>
          <w:p>
            <w:r>
              <w:rPr>
                <w:sz w:val="18"/>
              </w:rPr>
              <w:t>Supports refined interpretation of the signal-informativeness sweep.</w:t>
            </w:r>
          </w:p>
        </w:tc>
      </w:tr>
    </w:tbl>
    <w:p/>
    <w:p>
      <w:r>
        <w:t>This separation keeps the appendix readable while preserving the boundary between primary experiment evidence and supporting diagnostics.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Template-adapted draft; frozen evidence is not regenerated.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HFMM-RL MSc Thesis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