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39A3F" w14:textId="77777777" w:rsidR="006455B6" w:rsidRDefault="00000000">
      <w:pPr>
        <w:spacing w:after="80"/>
        <w:jc w:val="center"/>
      </w:pPr>
      <w:r>
        <w:rPr>
          <w:b/>
          <w:color w:val="1F3864"/>
          <w:sz w:val="32"/>
          <w:szCs w:val="32"/>
        </w:rPr>
        <w:t>Project Summary</w:t>
      </w:r>
    </w:p>
    <w:p w14:paraId="1DC13AB5" w14:textId="77777777" w:rsidR="006455B6" w:rsidRDefault="00000000">
      <w:pPr>
        <w:spacing w:after="80"/>
        <w:jc w:val="center"/>
      </w:pPr>
      <w:r>
        <w:rPr>
          <w:color w:val="1F3864"/>
          <w:sz w:val="26"/>
          <w:szCs w:val="26"/>
        </w:rPr>
        <w:t>High-Frequency Market Making with Reinforcement Learning Under Different Volatility Regimes</w:t>
      </w:r>
    </w:p>
    <w:p w14:paraId="18F5E0BD" w14:textId="74777470" w:rsidR="006455B6" w:rsidRDefault="00000000">
      <w:pPr>
        <w:spacing w:after="40"/>
        <w:jc w:val="center"/>
      </w:pPr>
      <w:r>
        <w:rPr>
          <w:b/>
          <w:sz w:val="24"/>
        </w:rPr>
        <w:t>Onur Emiro</w:t>
      </w:r>
      <w:r w:rsidR="00326254">
        <w:rPr>
          <w:b/>
          <w:sz w:val="24"/>
        </w:rPr>
        <w:t>g</w:t>
      </w:r>
      <w:r>
        <w:rPr>
          <w:b/>
          <w:sz w:val="24"/>
        </w:rPr>
        <w:t>lu</w:t>
      </w:r>
    </w:p>
    <w:p w14:paraId="2BBB61DE" w14:textId="77777777" w:rsidR="006455B6" w:rsidRDefault="00000000">
      <w:pPr>
        <w:spacing w:after="40"/>
        <w:jc w:val="center"/>
      </w:pPr>
      <w:r>
        <w:rPr>
          <w:i/>
        </w:rPr>
        <w:t>MSc Financial Engineering, Karlsruhe Institute of Technology (KIT)</w:t>
      </w:r>
    </w:p>
    <w:p w14:paraId="4EA645C2" w14:textId="77777777" w:rsidR="006455B6" w:rsidRDefault="00000000">
      <w:pPr>
        <w:spacing w:after="240"/>
        <w:jc w:val="center"/>
      </w:pPr>
      <w:r>
        <w:rPr>
          <w:color w:val="666666"/>
          <w:sz w:val="20"/>
        </w:rPr>
        <w:t>March 2026 — Pre-Meeting Briefing</w:t>
      </w:r>
    </w:p>
    <w:p w14:paraId="5BCF0196" w14:textId="77777777" w:rsidR="006455B6" w:rsidRDefault="006455B6">
      <w:pPr>
        <w:pBdr>
          <w:bottom w:val="single" w:sz="6" w:space="1" w:color="AAAAAA"/>
        </w:pBdr>
      </w:pPr>
    </w:p>
    <w:p w14:paraId="2F7CB6BA" w14:textId="77777777" w:rsidR="006455B6" w:rsidRDefault="00000000">
      <w:pPr>
        <w:pStyle w:val="Heading1"/>
      </w:pPr>
      <w:r>
        <w:t>1. Project Overview</w:t>
      </w:r>
    </w:p>
    <w:p w14:paraId="5E7AD23D" w14:textId="77777777" w:rsidR="006455B6" w:rsidRDefault="00000000">
      <w:r>
        <w:t>This thesis investigates whether a reinforcement-learning (RL) market-making agent that receives explicit volatility-regime information outperforms an otherwise identical agent that does not. All experiments are conducted in a fully synthetic, controlled market environment built around an arithmetic Brownian motion mid-price process with three volatility regimes (Low / Medium / High) driven by a Markov chain. The synthetic design enables clean ablation, full reproducibility, and isolation of the regime-awareness effect from confounding factors present in live market data.</w:t>
      </w:r>
    </w:p>
    <w:p w14:paraId="28E051BE" w14:textId="77777777" w:rsidR="006455B6" w:rsidRDefault="00000000">
      <w:pPr>
        <w:pStyle w:val="Heading1"/>
      </w:pPr>
      <w:r>
        <w:t>2. Methodology</w:t>
      </w:r>
    </w:p>
    <w:p w14:paraId="40ACA8DC" w14:textId="77777777" w:rsidR="006455B6" w:rsidRDefault="00000000">
      <w:pPr>
        <w:pStyle w:val="Heading2"/>
      </w:pPr>
      <w:r>
        <w:t>Market Model</w:t>
      </w:r>
    </w:p>
    <w:p w14:paraId="3AD6DAA9" w14:textId="5CF3D2C6" w:rsidR="006455B6" w:rsidRDefault="00000000">
      <w:pPr>
        <w:pStyle w:val="ListBullet"/>
      </w:pPr>
      <w:r>
        <w:t xml:space="preserve">Mid-price dynamics: discrete-time arithmetic Brownian motion with regime-dependent volatility </w:t>
      </w:r>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xml:space="preserve"> &lt; </m:t>
        </m:r>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 xml:space="preserve"> &lt; </m:t>
        </m:r>
        <m:sSub>
          <m:sSubPr>
            <m:ctrlPr>
              <w:rPr>
                <w:rFonts w:ascii="Cambria Math" w:hAnsi="Cambria Math"/>
                <w:i/>
              </w:rPr>
            </m:ctrlPr>
          </m:sSubPr>
          <m:e>
            <m:r>
              <w:rPr>
                <w:rFonts w:ascii="Cambria Math" w:hAnsi="Cambria Math"/>
              </w:rPr>
              <m:t>σ</m:t>
            </m:r>
          </m:e>
          <m:sub>
            <m:r>
              <w:rPr>
                <w:rFonts w:ascii="Cambria Math" w:hAnsi="Cambria Math"/>
              </w:rPr>
              <m:t>H</m:t>
            </m:r>
          </m:sub>
        </m:sSub>
        <m:r>
          <w:rPr>
            <w:rFonts w:ascii="Cambria Math" w:hAnsi="Cambria Math"/>
          </w:rPr>
          <m:t>).</m:t>
        </m:r>
      </m:oMath>
    </w:p>
    <w:p w14:paraId="5F8F5DF5" w14:textId="048F8F56" w:rsidR="006455B6" w:rsidRDefault="00000000">
      <w:pPr>
        <w:pStyle w:val="ListBullet"/>
      </w:pPr>
      <w:r>
        <w:t xml:space="preserve">Regime generation: 3-state Markov chain with sticky transition matrix; online detection via rolling realized volatility (window = </w:t>
      </w:r>
      <m:oMath>
        <m:r>
          <w:rPr>
            <w:rFonts w:ascii="Cambria Math" w:hAnsi="Cambria Math"/>
          </w:rPr>
          <m:t>50</m:t>
        </m:r>
      </m:oMath>
      <w:r>
        <w:t xml:space="preserve"> steps, post-warmup accuracy ≈ </w:t>
      </w:r>
      <m:oMath>
        <m:r>
          <w:rPr>
            <w:rFonts w:ascii="Cambria Math" w:hAnsi="Cambria Math"/>
          </w:rPr>
          <m:t>60.7%</m:t>
        </m:r>
      </m:oMath>
      <w:r>
        <w:t>).</w:t>
      </w:r>
    </w:p>
    <w:p w14:paraId="1A1474AB" w14:textId="1A8535FE" w:rsidR="006455B6" w:rsidRDefault="00000000">
      <w:pPr>
        <w:pStyle w:val="ListBullet"/>
      </w:pPr>
      <w:r>
        <w:t xml:space="preserve">Order fills: Poisson intensity model </w:t>
      </w:r>
      <m:oMath>
        <m:r>
          <w:rPr>
            <w:rFonts w:ascii="Cambria Math" w:hAnsi="Cambria Math"/>
          </w:rPr>
          <m:t>λ(δ) = A · exp(-k · δ)</m:t>
        </m:r>
      </m:oMath>
      <w:r>
        <w:t>, with fill probability</w:t>
      </w:r>
      <w:r w:rsidR="00326254">
        <w:t xml:space="preserve">                        </w:t>
      </w:r>
      <w:r>
        <w:t xml:space="preserve"> </w:t>
      </w:r>
      <m:oMath>
        <m:r>
          <w:rPr>
            <w:rFonts w:ascii="Cambria Math" w:hAnsi="Cambria Math"/>
          </w:rPr>
          <m:t>P = 1 - exp(-λ · dt)</m:t>
        </m:r>
      </m:oMath>
      <w:r>
        <w:t>.</w:t>
      </w:r>
      <w:r w:rsidR="00326254">
        <w:t xml:space="preserve"> </w:t>
      </w:r>
      <w:r>
        <w:t xml:space="preserve"> Includes one-step latency and transaction fees.</w:t>
      </w:r>
    </w:p>
    <w:p w14:paraId="1DCC96D8" w14:textId="77777777" w:rsidR="006455B6" w:rsidRDefault="00000000">
      <w:pPr>
        <w:pStyle w:val="Heading2"/>
      </w:pPr>
      <w:r>
        <w:t>RL Framework</w:t>
      </w:r>
    </w:p>
    <w:p w14:paraId="4CC3A453" w14:textId="77777777" w:rsidR="006455B6" w:rsidRDefault="00000000">
      <w:pPr>
        <w:pStyle w:val="ListBullet"/>
      </w:pPr>
      <w:r>
        <w:t>Algorithm: Proximal Policy Optimization (PPO) via Stable-Baselines3.</w:t>
      </w:r>
    </w:p>
    <w:p w14:paraId="0883E56A" w14:textId="5574088C" w:rsidR="006455B6" w:rsidRDefault="00000000">
      <w:pPr>
        <w:pStyle w:val="ListBullet"/>
      </w:pPr>
      <w:r>
        <w:t xml:space="preserve">Observation space (6-dim): normalized inventory, rolling </w:t>
      </w:r>
      <m:oMath>
        <m:r>
          <w:rPr>
            <w:rFonts w:ascii="Cambria Math" w:hAnsi="Cambria Math"/>
          </w:rPr>
          <m:t>σ̂</m:t>
        </m:r>
      </m:oMath>
      <w:r>
        <w:t xml:space="preserve">, time-to-horizon </w:t>
      </w:r>
      <m:oMath>
        <m:r>
          <w:rPr>
            <w:rFonts w:ascii="Cambria Math" w:hAnsi="Cambria Math"/>
          </w:rPr>
          <m:t>τ</m:t>
        </m:r>
      </m:oMath>
      <w:r>
        <w:t>, and regime one-hot encoding [L, M, H] (zeros for the regime-blind variant).</w:t>
      </w:r>
    </w:p>
    <w:p w14:paraId="225B0645" w14:textId="576C3B5B" w:rsidR="00326254" w:rsidRPr="00326254" w:rsidRDefault="00000000">
      <w:pPr>
        <w:pStyle w:val="ListBullet"/>
      </w:pPr>
      <w:r>
        <w:t xml:space="preserve">Action space: </w:t>
      </w:r>
      <m:oMath>
        <m:r>
          <w:rPr>
            <w:rFonts w:ascii="Cambria Math" w:hAnsi="Cambria Math"/>
          </w:rPr>
          <m:t>MultiDiscrete</m:t>
        </m:r>
        <m:d>
          <m:dPr>
            <m:ctrlPr>
              <w:rPr>
                <w:rFonts w:ascii="Cambria Math" w:hAnsi="Cambria Math"/>
                <w:i/>
              </w:rPr>
            </m:ctrlPr>
          </m:dPr>
          <m:e>
            <m:d>
              <m:dPr>
                <m:begChr m:val="["/>
                <m:endChr m:val="]"/>
                <m:ctrlPr>
                  <w:rPr>
                    <w:rFonts w:ascii="Cambria Math" w:hAnsi="Cambria Math"/>
                    <w:i/>
                  </w:rPr>
                </m:ctrlPr>
              </m:dPr>
              <m:e>
                <m:r>
                  <w:rPr>
                    <w:rFonts w:ascii="Cambria Math" w:hAnsi="Cambria Math"/>
                  </w:rPr>
                  <m:t>5, 5</m:t>
                </m:r>
              </m:e>
            </m:d>
          </m:e>
        </m:d>
        <m:r>
          <w:rPr>
            <w:rFonts w:ascii="Cambria Math" w:hAnsi="Cambria Math"/>
          </w:rPr>
          <m:t xml:space="preserve"> — half-spread h ∈ </m:t>
        </m:r>
        <m:d>
          <m:dPr>
            <m:begChr m:val="{"/>
            <m:endChr m:val="}"/>
            <m:ctrlPr>
              <w:rPr>
                <w:rFonts w:ascii="Cambria Math" w:hAnsi="Cambria Math"/>
                <w:i/>
              </w:rPr>
            </m:ctrlPr>
          </m:dPr>
          <m:e>
            <m:r>
              <w:rPr>
                <w:rFonts w:ascii="Cambria Math" w:hAnsi="Cambria Math"/>
              </w:rPr>
              <m:t>1…5</m:t>
            </m:r>
          </m:e>
        </m:d>
        <m:r>
          <w:rPr>
            <w:rFonts w:ascii="Cambria Math" w:hAnsi="Cambria Math"/>
          </w:rPr>
          <m:t xml:space="preserve"> ticks, skew m ∈ </m:t>
        </m:r>
        <m:d>
          <m:dPr>
            <m:begChr m:val="{"/>
            <m:endChr m:val="}"/>
            <m:ctrlPr>
              <w:rPr>
                <w:rFonts w:ascii="Cambria Math" w:hAnsi="Cambria Math"/>
                <w:i/>
              </w:rPr>
            </m:ctrlPr>
          </m:dPr>
          <m:e>
            <m:r>
              <w:rPr>
                <w:rFonts w:ascii="Cambria Math" w:hAnsi="Cambria Math"/>
              </w:rPr>
              <m:t>-2…2</m:t>
            </m:r>
          </m:e>
        </m:d>
        <m:r>
          <w:rPr>
            <w:rFonts w:ascii="Cambria Math" w:hAnsi="Cambria Math"/>
          </w:rPr>
          <m:t xml:space="preserve">; </m:t>
        </m:r>
      </m:oMath>
    </w:p>
    <w:p w14:paraId="4704BE24" w14:textId="1718DCAB" w:rsidR="006455B6" w:rsidRDefault="00326254">
      <w:pPr>
        <w:pStyle w:val="ListBullet"/>
      </w:pPr>
      <m:oMath>
        <m:sSub>
          <m:sSubPr>
            <m:ctrlPr>
              <w:rPr>
                <w:rFonts w:ascii="Cambria Math" w:hAnsi="Cambria Math"/>
                <w:i/>
              </w:rPr>
            </m:ctrlPr>
          </m:sSubPr>
          <m:e>
            <m:r>
              <w:rPr>
                <w:rFonts w:ascii="Cambria Math" w:hAnsi="Cambria Math"/>
              </w:rPr>
              <m:t>δ</m:t>
            </m:r>
          </m:e>
          <m:sub>
            <m:r>
              <w:rPr>
                <w:rFonts w:ascii="Cambria Math" w:hAnsi="Cambria Math"/>
              </w:rPr>
              <m:t>bid</m:t>
            </m:r>
          </m:sub>
        </m:sSub>
        <m:r>
          <w:rPr>
            <w:rFonts w:ascii="Cambria Math" w:hAnsi="Cambria Math"/>
          </w:rPr>
          <m:t xml:space="preserve"> = max(1, </m:t>
        </m:r>
        <m:r>
          <w:rPr>
            <w:rFonts w:ascii="Cambria Math" w:hAnsi="Cambria Math"/>
          </w:rPr>
          <m:t xml:space="preserve">h + m), </m:t>
        </m:r>
        <m:sSub>
          <m:sSubPr>
            <m:ctrlPr>
              <w:rPr>
                <w:rFonts w:ascii="Cambria Math" w:hAnsi="Cambria Math"/>
                <w:i/>
              </w:rPr>
            </m:ctrlPr>
          </m:sSubPr>
          <m:e>
            <m:r>
              <w:rPr>
                <w:rFonts w:ascii="Cambria Math" w:hAnsi="Cambria Math"/>
              </w:rPr>
              <m:t>δ</m:t>
            </m:r>
          </m:e>
          <m:sub>
            <m:r>
              <w:rPr>
                <w:rFonts w:ascii="Cambria Math" w:hAnsi="Cambria Math"/>
              </w:rPr>
              <m:t>ask</m:t>
            </m:r>
          </m:sub>
        </m:sSub>
        <m:r>
          <w:rPr>
            <w:rFonts w:ascii="Cambria Math" w:hAnsi="Cambria Math"/>
          </w:rPr>
          <m:t xml:space="preserve"> = max(1, </m:t>
        </m:r>
        <m:r>
          <w:rPr>
            <w:rFonts w:ascii="Cambria Math" w:hAnsi="Cambria Math"/>
          </w:rPr>
          <m:t>h - m).</m:t>
        </m:r>
      </m:oMath>
    </w:p>
    <w:p w14:paraId="1BFF527B" w14:textId="31371B0E" w:rsidR="006455B6" w:rsidRDefault="00000000">
      <w:pPr>
        <w:pStyle w:val="ListBullet"/>
      </w:pPr>
      <w:r>
        <w:t xml:space="preserve">Reward: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 ΔEquit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η · in</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r>
          <w:rPr>
            <w:rFonts w:ascii="Cambria Math" w:hAnsi="Cambria Math"/>
          </w:rPr>
          <m:t>²</m:t>
        </m:r>
        <m:r>
          <w:rPr>
            <w:rFonts w:ascii="Cambria Math" w:hAnsi="Cambria Math"/>
          </w:rPr>
          <m:t xml:space="preserve">  </m:t>
        </m:r>
      </m:oMath>
      <w:r>
        <w:t xml:space="preserve">  (stepwise equity change minus inventory penalty).</w:t>
      </w:r>
    </w:p>
    <w:p w14:paraId="1476B3FE" w14:textId="77777777" w:rsidR="00326254" w:rsidRDefault="00326254" w:rsidP="00326254">
      <w:pPr>
        <w:pStyle w:val="ListBullet"/>
        <w:numPr>
          <w:ilvl w:val="0"/>
          <w:numId w:val="0"/>
        </w:numPr>
        <w:ind w:left="360"/>
      </w:pPr>
    </w:p>
    <w:p w14:paraId="2D0C05A3" w14:textId="77777777" w:rsidR="006455B6" w:rsidRDefault="00000000">
      <w:pPr>
        <w:pStyle w:val="Heading2"/>
      </w:pPr>
      <w:r>
        <w:lastRenderedPageBreak/>
        <w:t>Evaluation Protocol</w:t>
      </w:r>
    </w:p>
    <w:p w14:paraId="41410699" w14:textId="77777777" w:rsidR="006455B6" w:rsidRDefault="00000000">
      <w:pPr>
        <w:pStyle w:val="ListBullet"/>
      </w:pPr>
      <w:r>
        <w:t>Training: 1 million timesteps per seed.</w:t>
      </w:r>
    </w:p>
    <w:p w14:paraId="76A6E0E3" w14:textId="77777777" w:rsidR="006455B6" w:rsidRDefault="00000000">
      <w:pPr>
        <w:pStyle w:val="ListBullet"/>
      </w:pPr>
      <w:r>
        <w:t>Evaluation: 20 independent seeds; 8,000-step episodes with 70/30 walk-forward out-of-sample (OOS) split.</w:t>
      </w:r>
    </w:p>
    <w:p w14:paraId="7B0E6557" w14:textId="77777777" w:rsidR="006455B6" w:rsidRDefault="00000000">
      <w:pPr>
        <w:pStyle w:val="ListBullet"/>
      </w:pPr>
      <w:r>
        <w:t>Baselines: Naive fixed-spread and Avellaneda-Stoikov (AS) strategies.</w:t>
      </w:r>
    </w:p>
    <w:p w14:paraId="7252A4A0" w14:textId="77777777" w:rsidR="006455B6" w:rsidRDefault="00000000">
      <w:pPr>
        <w:pStyle w:val="Heading1"/>
      </w:pPr>
      <w:r>
        <w:t>3. Key Results</w:t>
      </w:r>
    </w:p>
    <w:p w14:paraId="67828F39" w14:textId="77777777" w:rsidR="006455B6" w:rsidRDefault="00000000">
      <w:r>
        <w:t>The table below summarizes out-of-sample performance across 20 seeds.</w:t>
      </w:r>
    </w:p>
    <w:tbl>
      <w:tblPr>
        <w:tblStyle w:val="LightShading-Accent1"/>
        <w:tblW w:w="0" w:type="auto"/>
        <w:jc w:val="center"/>
        <w:tblLook w:val="04A0" w:firstRow="1" w:lastRow="0" w:firstColumn="1" w:lastColumn="0" w:noHBand="0" w:noVBand="1"/>
      </w:tblPr>
      <w:tblGrid>
        <w:gridCol w:w="1872"/>
        <w:gridCol w:w="1440"/>
        <w:gridCol w:w="1440"/>
        <w:gridCol w:w="1152"/>
        <w:gridCol w:w="2160"/>
      </w:tblGrid>
      <w:tr w:rsidR="006455B6" w14:paraId="3880DD1A" w14:textId="77777777" w:rsidTr="006455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6BD7CB7" w14:textId="77777777" w:rsidR="006455B6" w:rsidRDefault="00000000">
            <w:r>
              <w:rPr>
                <w:sz w:val="20"/>
              </w:rPr>
              <w:t>Strategy</w:t>
            </w:r>
          </w:p>
        </w:tc>
        <w:tc>
          <w:tcPr>
            <w:tcW w:w="1440" w:type="dxa"/>
          </w:tcPr>
          <w:p w14:paraId="7E662762" w14:textId="77777777" w:rsidR="006455B6" w:rsidRDefault="00000000">
            <w:pPr>
              <w:cnfStyle w:val="100000000000" w:firstRow="1" w:lastRow="0" w:firstColumn="0" w:lastColumn="0" w:oddVBand="0" w:evenVBand="0" w:oddHBand="0" w:evenHBand="0" w:firstRowFirstColumn="0" w:firstRowLastColumn="0" w:lastRowFirstColumn="0" w:lastRowLastColumn="0"/>
            </w:pPr>
            <w:r>
              <w:rPr>
                <w:sz w:val="20"/>
              </w:rPr>
              <w:t>Sharpe (mean)</w:t>
            </w:r>
          </w:p>
        </w:tc>
        <w:tc>
          <w:tcPr>
            <w:tcW w:w="1440" w:type="dxa"/>
          </w:tcPr>
          <w:p w14:paraId="3001CF91" w14:textId="6C127940" w:rsidR="006455B6" w:rsidRDefault="00000000">
            <w:pPr>
              <w:cnfStyle w:val="100000000000" w:firstRow="1" w:lastRow="0" w:firstColumn="0" w:lastColumn="0" w:oddVBand="0" w:evenVBand="0" w:oddHBand="0" w:evenHBand="0" w:firstRowFirstColumn="0" w:firstRowLastColumn="0" w:lastRowFirstColumn="0" w:lastRowLastColumn="0"/>
            </w:pPr>
            <w:r>
              <w:rPr>
                <w:sz w:val="20"/>
              </w:rPr>
              <w:t>Equit</w:t>
            </w:r>
            <w:r w:rsidR="00326254">
              <w:rPr>
                <w:sz w:val="20"/>
              </w:rPr>
              <w:t>y std.</w:t>
            </w:r>
          </w:p>
        </w:tc>
        <w:tc>
          <w:tcPr>
            <w:tcW w:w="1152" w:type="dxa"/>
          </w:tcPr>
          <w:p w14:paraId="5084B5FB" w14:textId="77777777" w:rsidR="006455B6" w:rsidRDefault="00000000">
            <w:pPr>
              <w:cnfStyle w:val="100000000000" w:firstRow="1" w:lastRow="0" w:firstColumn="0" w:lastColumn="0" w:oddVBand="0" w:evenVBand="0" w:oddHBand="0" w:evenHBand="0" w:firstRowFirstColumn="0" w:firstRowLastColumn="0" w:lastRowFirstColumn="0" w:lastRowLastColumn="0"/>
            </w:pPr>
            <w:r>
              <w:rPr>
                <w:sz w:val="20"/>
              </w:rPr>
              <w:t>Inv p99</w:t>
            </w:r>
          </w:p>
        </w:tc>
        <w:tc>
          <w:tcPr>
            <w:tcW w:w="2160" w:type="dxa"/>
          </w:tcPr>
          <w:p w14:paraId="0E4642E4" w14:textId="77777777" w:rsidR="006455B6"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6455B6" w14:paraId="2DDD91C0" w14:textId="77777777" w:rsidTr="006455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2AEF1BB" w14:textId="77777777" w:rsidR="006455B6" w:rsidRDefault="00000000">
            <w:r>
              <w:rPr>
                <w:sz w:val="20"/>
              </w:rPr>
              <w:t>Naive Baseline</w:t>
            </w:r>
          </w:p>
        </w:tc>
        <w:tc>
          <w:tcPr>
            <w:tcW w:w="1440" w:type="dxa"/>
          </w:tcPr>
          <w:p w14:paraId="4C7C711E"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0.126</w:t>
            </w:r>
          </w:p>
        </w:tc>
        <w:tc>
          <w:tcPr>
            <w:tcW w:w="1440" w:type="dxa"/>
          </w:tcPr>
          <w:p w14:paraId="5D0C7219"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3.49</w:t>
            </w:r>
          </w:p>
        </w:tc>
        <w:tc>
          <w:tcPr>
            <w:tcW w:w="1152" w:type="dxa"/>
          </w:tcPr>
          <w:p w14:paraId="41821FFE"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2160" w:type="dxa"/>
          </w:tcPr>
          <w:p w14:paraId="3812373B"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Fixed spread</w:t>
            </w:r>
          </w:p>
        </w:tc>
      </w:tr>
      <w:tr w:rsidR="006455B6" w14:paraId="581E0467" w14:textId="77777777" w:rsidTr="006455B6">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82D38E2" w14:textId="77777777" w:rsidR="006455B6" w:rsidRDefault="00000000">
            <w:r>
              <w:rPr>
                <w:sz w:val="20"/>
              </w:rPr>
              <w:t>Avellaneda-Stoikov</w:t>
            </w:r>
          </w:p>
        </w:tc>
        <w:tc>
          <w:tcPr>
            <w:tcW w:w="1440" w:type="dxa"/>
          </w:tcPr>
          <w:p w14:paraId="69EC108A"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0.105</w:t>
            </w:r>
          </w:p>
        </w:tc>
        <w:tc>
          <w:tcPr>
            <w:tcW w:w="1440" w:type="dxa"/>
          </w:tcPr>
          <w:p w14:paraId="20436131"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4.72</w:t>
            </w:r>
          </w:p>
        </w:tc>
        <w:tc>
          <w:tcPr>
            <w:tcW w:w="1152" w:type="dxa"/>
          </w:tcPr>
          <w:p w14:paraId="53F44D39"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≈30</w:t>
            </w:r>
          </w:p>
        </w:tc>
        <w:tc>
          <w:tcPr>
            <w:tcW w:w="2160" w:type="dxa"/>
          </w:tcPr>
          <w:p w14:paraId="5E4354EE"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Classical model</w:t>
            </w:r>
          </w:p>
        </w:tc>
      </w:tr>
      <w:tr w:rsidR="006455B6" w14:paraId="594A5FBB" w14:textId="77777777" w:rsidTr="006455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29BCA5F" w14:textId="77777777" w:rsidR="006455B6" w:rsidRDefault="00000000">
            <w:r>
              <w:rPr>
                <w:sz w:val="20"/>
              </w:rPr>
              <w:t>PPO-Blind</w:t>
            </w:r>
          </w:p>
        </w:tc>
        <w:tc>
          <w:tcPr>
            <w:tcW w:w="1440" w:type="dxa"/>
          </w:tcPr>
          <w:p w14:paraId="7DAF6803"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0.740</w:t>
            </w:r>
          </w:p>
        </w:tc>
        <w:tc>
          <w:tcPr>
            <w:tcW w:w="1440" w:type="dxa"/>
          </w:tcPr>
          <w:p w14:paraId="4D36428F"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0.71</w:t>
            </w:r>
          </w:p>
        </w:tc>
        <w:tc>
          <w:tcPr>
            <w:tcW w:w="1152" w:type="dxa"/>
          </w:tcPr>
          <w:p w14:paraId="35A45160"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7BD29927" w14:textId="77777777" w:rsidR="006455B6" w:rsidRDefault="00000000">
            <w:pPr>
              <w:cnfStyle w:val="000000100000" w:firstRow="0" w:lastRow="0" w:firstColumn="0" w:lastColumn="0" w:oddVBand="0" w:evenVBand="0" w:oddHBand="1" w:evenHBand="0" w:firstRowFirstColumn="0" w:firstRowLastColumn="0" w:lastRowFirstColumn="0" w:lastRowLastColumn="0"/>
            </w:pPr>
            <w:r>
              <w:rPr>
                <w:sz w:val="20"/>
              </w:rPr>
              <w:t>No regime input</w:t>
            </w:r>
          </w:p>
        </w:tc>
      </w:tr>
      <w:tr w:rsidR="006455B6" w14:paraId="193BF736" w14:textId="77777777" w:rsidTr="006455B6">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15477ECC" w14:textId="77777777" w:rsidR="006455B6" w:rsidRDefault="00000000">
            <w:r>
              <w:rPr>
                <w:sz w:val="20"/>
              </w:rPr>
              <w:t>PPO-Aware</w:t>
            </w:r>
          </w:p>
        </w:tc>
        <w:tc>
          <w:tcPr>
            <w:tcW w:w="1440" w:type="dxa"/>
          </w:tcPr>
          <w:p w14:paraId="72D8273B"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0.715</w:t>
            </w:r>
          </w:p>
        </w:tc>
        <w:tc>
          <w:tcPr>
            <w:tcW w:w="1440" w:type="dxa"/>
          </w:tcPr>
          <w:p w14:paraId="6965FB71"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0.78</w:t>
            </w:r>
          </w:p>
        </w:tc>
        <w:tc>
          <w:tcPr>
            <w:tcW w:w="1152" w:type="dxa"/>
          </w:tcPr>
          <w:p w14:paraId="086C0561"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≈2</w:t>
            </w:r>
          </w:p>
        </w:tc>
        <w:tc>
          <w:tcPr>
            <w:tcW w:w="2160" w:type="dxa"/>
          </w:tcPr>
          <w:p w14:paraId="33172039" w14:textId="77777777" w:rsidR="006455B6" w:rsidRDefault="00000000">
            <w:pPr>
              <w:cnfStyle w:val="000000000000" w:firstRow="0" w:lastRow="0" w:firstColumn="0" w:lastColumn="0" w:oddVBand="0" w:evenVBand="0" w:oddHBand="0" w:evenHBand="0" w:firstRowFirstColumn="0" w:firstRowLastColumn="0" w:lastRowFirstColumn="0" w:lastRowLastColumn="0"/>
            </w:pPr>
            <w:r>
              <w:rPr>
                <w:sz w:val="20"/>
              </w:rPr>
              <w:t>With regime one-hot</w:t>
            </w:r>
          </w:p>
        </w:tc>
      </w:tr>
    </w:tbl>
    <w:p w14:paraId="2C87978D" w14:textId="77777777" w:rsidR="006455B6" w:rsidRDefault="006455B6"/>
    <w:p w14:paraId="68CDDA41" w14:textId="1593C47B" w:rsidR="006455B6" w:rsidRDefault="00000000">
      <w:pPr>
        <w:pStyle w:val="ListBullet"/>
      </w:pPr>
      <w:r>
        <w:t>Both PPO variants achieve approximately 6–7× higher Sharpe ratios than the classical baselines, with dramatically tighter inventory control (</w:t>
      </w:r>
      <m:oMath>
        <m:r>
          <w:rPr>
            <w:rFonts w:ascii="Cambria Math" w:hAnsi="Cambria Math"/>
          </w:rPr>
          <m:t>p99 ≈ 2 vs. 21–30 lots</m:t>
        </m:r>
      </m:oMath>
      <w:r>
        <w:t>).</w:t>
      </w:r>
    </w:p>
    <w:p w14:paraId="3C3AEE3E" w14:textId="5D320602" w:rsidR="006455B6" w:rsidRDefault="00000000">
      <w:pPr>
        <w:pStyle w:val="ListBullet"/>
      </w:pPr>
      <w:r>
        <w:t xml:space="preserve">PPO-Aware vs. PPO-Blind: Wilcoxon signed-rank test on Sharpe yields </w:t>
      </w:r>
      <m:oMath>
        <m:r>
          <w:rPr>
            <w:rFonts w:ascii="Cambria Math" w:hAnsi="Cambria Math"/>
          </w:rPr>
          <m:t>p = 0.261</m:t>
        </m:r>
      </m:oMath>
      <w:r>
        <w:t xml:space="preserve"> (not significant). PPO-Aware wins 11/20 seeds on Sharpe but loses on mean final equity.</w:t>
      </w:r>
    </w:p>
    <w:p w14:paraId="3BD29950" w14:textId="548CD4A5" w:rsidR="006455B6" w:rsidRDefault="00000000">
      <w:pPr>
        <w:pStyle w:val="ListBullet"/>
      </w:pPr>
      <w:r>
        <w:t xml:space="preserve">Equity-based paired t-test: </w:t>
      </w:r>
      <m:oMath>
        <m:r>
          <w:rPr>
            <w:rFonts w:ascii="Cambria Math" w:hAnsi="Cambria Math"/>
          </w:rPr>
          <m:t>p = 0.023</m:t>
        </m:r>
      </m:oMath>
      <w:r>
        <w:t xml:space="preserve"> in favor of PPO-Blind, suggesting a modest but statistically detectable advantage for the regime-blind variant.</w:t>
      </w:r>
    </w:p>
    <w:p w14:paraId="19507545" w14:textId="77777777" w:rsidR="006455B6" w:rsidRDefault="00000000">
      <w:pPr>
        <w:pStyle w:val="ListBullet"/>
      </w:pPr>
      <w:r>
        <w:t>Null result: The hypothesis that explicit regime labels improve RL market-making performance is not supported under the current experimental design.</w:t>
      </w:r>
    </w:p>
    <w:p w14:paraId="3EAF9E6D" w14:textId="77777777" w:rsidR="006455B6" w:rsidRDefault="00000000">
      <w:pPr>
        <w:pStyle w:val="Heading1"/>
      </w:pPr>
      <w:r>
        <w:t>4. Open Questions / Discussion Points</w:t>
      </w:r>
    </w:p>
    <w:p w14:paraId="725D8493" w14:textId="7913BB65" w:rsidR="006455B6" w:rsidRDefault="00000000">
      <w:pPr>
        <w:pStyle w:val="ListBullet"/>
      </w:pPr>
      <w:r>
        <w:rPr>
          <w:b/>
        </w:rPr>
        <w:t xml:space="preserve">Pure ablation design. </w:t>
      </w:r>
      <w:r>
        <w:t xml:space="preserve">A cleaner test would remove </w:t>
      </w:r>
      <m:oMath>
        <m:r>
          <w:rPr>
            <w:rFonts w:ascii="Cambria Math" w:hAnsi="Cambria Math"/>
          </w:rPr>
          <m:t>σ̂</m:t>
        </m:r>
      </m:oMath>
      <w:r>
        <w:t xml:space="preserve"> from the observation space entirely and retain only the regime one-hot, thereby isolating the marginal contribution of regime information.</w:t>
      </w:r>
    </w:p>
    <w:p w14:paraId="08B3F876" w14:textId="77777777" w:rsidR="006455B6" w:rsidRDefault="00000000">
      <w:pPr>
        <w:ind w:left="720"/>
      </w:pPr>
      <w:r>
        <w:rPr>
          <w:i/>
          <w:sz w:val="20"/>
          <w:szCs w:val="20"/>
        </w:rPr>
        <w:t>[Key decision point: the answer to this question may significantly affect the thesis direction.]</w:t>
      </w:r>
    </w:p>
    <w:p w14:paraId="7B4F807C" w14:textId="459EEB5B" w:rsidR="006455B6" w:rsidRDefault="00000000">
      <w:pPr>
        <w:pStyle w:val="ListBullet"/>
      </w:pPr>
      <w:r>
        <w:rPr>
          <w:b/>
        </w:rPr>
        <w:t xml:space="preserve">Regime signal redundancy. </w:t>
      </w:r>
      <w:r>
        <w:t xml:space="preserve">The rolling </w:t>
      </w:r>
      <m:oMath>
        <m:r>
          <w:rPr>
            <w:rFonts w:ascii="Cambria Math" w:hAnsi="Cambria Math"/>
          </w:rPr>
          <m:t>σ̂</m:t>
        </m:r>
      </m:oMath>
      <w:r>
        <w:t xml:space="preserve"> is already present in the observation space. The regime one-hot encoding may therefore be redundant—the agent can implicitly infer regime from σ̂ alone.</w:t>
      </w:r>
    </w:p>
    <w:p w14:paraId="34010909" w14:textId="34287BFA" w:rsidR="006455B6" w:rsidRDefault="00000000">
      <w:pPr>
        <w:pStyle w:val="ListBullet"/>
      </w:pPr>
      <w:r>
        <w:rPr>
          <w:b/>
        </w:rPr>
        <w:t xml:space="preserve">Detection accuracy. </w:t>
      </w:r>
      <w:r>
        <w:t xml:space="preserve">Online regime detection achieves only </w:t>
      </w:r>
      <m:oMath>
        <m:r>
          <w:rPr>
            <w:rFonts w:ascii="Cambria Math" w:hAnsi="Cambria Math"/>
          </w:rPr>
          <m:t>60.7%</m:t>
        </m:r>
      </m:oMath>
      <w:r>
        <w:t xml:space="preserve"> accuracy post-warmup. It is unclear whether this noisy label adds signal or primarily injects noise.</w:t>
      </w:r>
    </w:p>
    <w:p w14:paraId="26C47F01" w14:textId="77777777" w:rsidR="006455B6" w:rsidRDefault="00000000">
      <w:pPr>
        <w:pStyle w:val="ListBullet"/>
      </w:pPr>
      <w:r>
        <w:rPr>
          <w:b/>
        </w:rPr>
        <w:t xml:space="preserve">Regime-conditional reward. </w:t>
      </w:r>
      <w:r>
        <w:t>An alternative approach: shape the reward function to penalize inventory more heavily in high-volatility regimes, giving the agent a direct incentive to exploit regime knowledge.</w:t>
      </w:r>
    </w:p>
    <w:p w14:paraId="5B490FF2" w14:textId="77777777" w:rsidR="006455B6" w:rsidRDefault="00000000">
      <w:pPr>
        <w:pStyle w:val="ListBullet"/>
      </w:pPr>
      <w:r>
        <w:rPr>
          <w:b/>
        </w:rPr>
        <w:t xml:space="preserve">Model misspecification benchmark. </w:t>
      </w:r>
      <w:r>
        <w:t>Linking the fill-model parameters A and k to the volatility regime would test robustness under a more realistic (and harder) environment.</w:t>
      </w:r>
    </w:p>
    <w:p w14:paraId="1CF594CD" w14:textId="77777777" w:rsidR="006455B6" w:rsidRDefault="00000000">
      <w:pPr>
        <w:pStyle w:val="Heading1"/>
      </w:pPr>
      <w:r>
        <w:lastRenderedPageBreak/>
        <w:t>5. Next Steps</w:t>
      </w:r>
    </w:p>
    <w:p w14:paraId="145A46CE" w14:textId="10800116" w:rsidR="006455B6" w:rsidRDefault="00000000">
      <w:pPr>
        <w:pStyle w:val="ListNumber"/>
      </w:pPr>
      <w:r>
        <w:t>Pure ablation experiment: train a PPO variant that observes only the regime one-hot (no</w:t>
      </w:r>
      <m:oMath>
        <m:r>
          <w:rPr>
            <w:rFonts w:ascii="Cambria Math" w:hAnsi="Cambria Math"/>
          </w:rPr>
          <m:t xml:space="preserve"> σ̂</m:t>
        </m:r>
      </m:oMath>
      <w:r>
        <w:t>) to isolate the value of regime information.</w:t>
      </w:r>
    </w:p>
    <w:p w14:paraId="665B0781" w14:textId="051A2CDB" w:rsidR="006455B6" w:rsidRDefault="00000000">
      <w:pPr>
        <w:pStyle w:val="ListNumber"/>
      </w:pPr>
      <w:r>
        <w:t xml:space="preserve">Regime-conditional reward shaping: adjust the inventory penalty </w:t>
      </w:r>
      <m:oMath>
        <m:r>
          <w:rPr>
            <w:rFonts w:ascii="Cambria Math" w:hAnsi="Cambria Math"/>
          </w:rPr>
          <m:t xml:space="preserve">η </m:t>
        </m:r>
      </m:oMath>
      <w:r>
        <w:t>by regime to incentivize regime-aware behavior.</w:t>
      </w:r>
    </w:p>
    <w:p w14:paraId="4D3BC252" w14:textId="6280DD68" w:rsidR="006455B6" w:rsidRDefault="00000000">
      <w:pPr>
        <w:pStyle w:val="ListNumber"/>
      </w:pPr>
      <w:r>
        <w:t>Robustness checks: sensitivity analysis on key hyperparameters (</w:t>
      </w:r>
      <m:oMath>
        <m:r>
          <w:rPr>
            <w:rFonts w:ascii="Cambria Math" w:hAnsi="Cambria Math"/>
          </w:rPr>
          <m:t>η</m:t>
        </m:r>
      </m:oMath>
      <w:r>
        <w:t>, action granularity, training length).</w:t>
      </w:r>
    </w:p>
    <w:p w14:paraId="089A9132" w14:textId="77777777" w:rsidR="006455B6" w:rsidRDefault="00000000">
      <w:pPr>
        <w:pStyle w:val="ListNumber"/>
      </w:pPr>
      <w:r>
        <w:t>Potential publication direction: position the study as a controlled benchmark of RL vs. classical market making with a well-characterized null result on regime awareness.</w:t>
      </w:r>
    </w:p>
    <w:p w14:paraId="2CC0D0A1" w14:textId="564FA3DE" w:rsidR="006455B6" w:rsidRDefault="00000000">
      <w:pPr>
        <w:spacing w:before="240"/>
      </w:pPr>
      <w:r>
        <w:t xml:space="preserve">A further planned experiment is to improve regime detection accuracy from the current </w:t>
      </w:r>
      <m:oMath>
        <m:r>
          <w:rPr>
            <w:rFonts w:ascii="Cambria Math" w:hAnsi="Cambria Math"/>
          </w:rPr>
          <m:t>60.7%</m:t>
        </m:r>
      </m:oMath>
      <w:r>
        <w:t xml:space="preserve"> toward </w:t>
      </w:r>
      <m:oMath>
        <m:r>
          <w:rPr>
            <w:rFonts w:ascii="Cambria Math" w:hAnsi="Cambria Math"/>
          </w:rPr>
          <m:t>90%</m:t>
        </m:r>
      </m:oMath>
      <w:r>
        <w:t xml:space="preserve"> or above, and then re-run the main ppo_aware vs ppo_blind comparison under high-accuracy regime labels. If the null result persists even under near-perfect regime detection, this would substantially strengthen the conclusion that explicit regime labels do not add incremental value beyond the rolling volatility signal already present in the state. Conversely, if ppo_aware outperforms ppo_blind under high-accuracy labels, it would suggest that the noise in the current detection pipeline was masking a genuine advantage.</w:t>
      </w:r>
    </w:p>
    <w:sectPr w:rsidR="006455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185869">
    <w:abstractNumId w:val="8"/>
  </w:num>
  <w:num w:numId="2" w16cid:durableId="1137647980">
    <w:abstractNumId w:val="6"/>
  </w:num>
  <w:num w:numId="3" w16cid:durableId="714350108">
    <w:abstractNumId w:val="5"/>
  </w:num>
  <w:num w:numId="4" w16cid:durableId="832646655">
    <w:abstractNumId w:val="4"/>
  </w:num>
  <w:num w:numId="5" w16cid:durableId="2121871540">
    <w:abstractNumId w:val="7"/>
  </w:num>
  <w:num w:numId="6" w16cid:durableId="452092715">
    <w:abstractNumId w:val="3"/>
  </w:num>
  <w:num w:numId="7" w16cid:durableId="25297582">
    <w:abstractNumId w:val="2"/>
  </w:num>
  <w:num w:numId="8" w16cid:durableId="361635974">
    <w:abstractNumId w:val="1"/>
  </w:num>
  <w:num w:numId="9" w16cid:durableId="180820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ED6"/>
    <w:rsid w:val="0029639D"/>
    <w:rsid w:val="00326254"/>
    <w:rsid w:val="00326F90"/>
    <w:rsid w:val="00645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F1F0A"/>
  <w14:defaultImageDpi w14:val="300"/>
  <w15:docId w15:val="{40CC0490-E3C2-48A6-BC23-2B8878ED6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2</cp:revision>
  <cp:lastPrinted>2026-03-11T23:30:00Z</cp:lastPrinted>
  <dcterms:created xsi:type="dcterms:W3CDTF">2013-12-23T23:15:00Z</dcterms:created>
  <dcterms:modified xsi:type="dcterms:W3CDTF">2026-03-11T23:32:00Z</dcterms:modified>
  <cp:category/>
</cp:coreProperties>
</file>