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jc w:val="both"/>
      </w:pPr>
      <w:r>
        <w:rPr>
          <w:rFonts w:ascii="Times New Roman" w:cs="Times New Roman" w:eastAsia="Times New Roman" w:hAnsi="Times New Roman"/>
          <w:b w:val="false"/>
          <w:bCs w:val="false"/>
          <w:sz w:val="22"/>
          <w:szCs w:val="22"/>
        </w:rPr>
        <w:t xml:space="preserve"/>
      </w:r>
    </w:p>
    <w:p>
      <w:pPr>
        <w:spacing w:before="0" w:after="120"/>
        <w:jc w:val="center"/>
      </w:pPr>
      <w:r>
        <w:rPr>
          <w:rFonts w:ascii="Times New Roman" w:cs="Times New Roman" w:eastAsia="Times New Roman" w:hAnsi="Times New Roman"/>
          <w:b/>
          <w:bCs/>
          <w:sz w:val="28"/>
          <w:szCs w:val="28"/>
        </w:rPr>
        <w:t xml:space="preserve">Karlsruhe Institute of Technology</w:t>
      </w:r>
    </w:p>
    <w:p>
      <w:pPr>
        <w:spacing w:before="0" w:after="120"/>
        <w:jc w:val="center"/>
      </w:pPr>
      <w:r>
        <w:rPr>
          <w:rFonts w:ascii="Times New Roman" w:cs="Times New Roman" w:eastAsia="Times New Roman" w:hAnsi="Times New Roman"/>
          <w:b w:val="false"/>
          <w:bCs w:val="false"/>
          <w:sz w:val="22"/>
          <w:szCs w:val="22"/>
        </w:rPr>
        <w:t xml:space="preserve">Financial Engineering MSc Programı</w:t>
      </w:r>
    </w:p>
    <w:p>
      <w:pPr>
        <w:spacing w:before="0" w:after="800"/>
        <w:jc w:val="both"/>
      </w:pPr>
      <w:r>
        <w:rPr>
          <w:rFonts w:ascii="Times New Roman" w:cs="Times New Roman" w:eastAsia="Times New Roman" w:hAnsi="Times New Roman"/>
          <w:b w:val="false"/>
          <w:bCs w:val="false"/>
          <w:sz w:val="22"/>
          <w:szCs w:val="22"/>
        </w:rPr>
        <w:t xml:space="preserve"/>
      </w:r>
    </w:p>
    <w:p>
      <w:pPr>
        <w:spacing w:before="0" w:after="800"/>
        <w:jc w:val="center"/>
      </w:pPr>
      <w:r>
        <w:rPr>
          <w:rFonts w:ascii="Times New Roman" w:cs="Times New Roman" w:eastAsia="Times New Roman" w:hAnsi="Times New Roman"/>
          <w:b w:val="false"/>
          <w:bCs w:val="false"/>
          <w:sz w:val="22"/>
          <w:szCs w:val="22"/>
        </w:rPr>
        <w:t xml:space="preserve">Yüksek Lisans Tez Taslağı</w:t>
      </w:r>
    </w:p>
    <w:p>
      <w:pPr>
        <w:spacing w:before="0" w:after="80"/>
        <w:jc w:val="center"/>
      </w:pPr>
      <w:r>
        <w:rPr>
          <w:rFonts w:ascii="Times New Roman" w:cs="Times New Roman" w:eastAsia="Times New Roman" w:hAnsi="Times New Roman"/>
          <w:b/>
          <w:bCs/>
          <w:sz w:val="32"/>
          <w:szCs w:val="32"/>
        </w:rPr>
        <w:t xml:space="preserve">Farklı Volatilite Rejimleri Altında Pekiştirmeli Öğrenme ile</w:t>
      </w:r>
    </w:p>
    <w:p>
      <w:pPr>
        <w:spacing w:before="0" w:after="1200"/>
        <w:jc w:val="center"/>
      </w:pPr>
      <w:r>
        <w:rPr>
          <w:rFonts w:ascii="Times New Roman" w:cs="Times New Roman" w:eastAsia="Times New Roman" w:hAnsi="Times New Roman"/>
          <w:b/>
          <w:bCs/>
          <w:sz w:val="32"/>
          <w:szCs w:val="32"/>
        </w:rPr>
        <w:t xml:space="preserve">Yüksek Frekanslı Piyasa Yapıcılığı</w:t>
      </w:r>
    </w:p>
    <w:p>
      <w:pPr>
        <w:spacing w:before="0" w:after="120"/>
        <w:jc w:val="center"/>
      </w:pPr>
      <w:r>
        <w:rPr>
          <w:rFonts w:ascii="Times New Roman" w:cs="Times New Roman" w:eastAsia="Times New Roman" w:hAnsi="Times New Roman"/>
          <w:b/>
          <w:bCs/>
          <w:sz w:val="24"/>
          <w:szCs w:val="24"/>
        </w:rPr>
        <w:t xml:space="preserve">Onur Emiroğlu</w:t>
      </w:r>
    </w:p>
    <w:p>
      <w:pPr>
        <w:spacing w:before="0" w:after="80"/>
        <w:jc w:val="center"/>
      </w:pPr>
      <w:r>
        <w:rPr>
          <w:rFonts w:ascii="Times New Roman" w:cs="Times New Roman" w:eastAsia="Times New Roman" w:hAnsi="Times New Roman"/>
          <w:b w:val="false"/>
          <w:bCs w:val="false"/>
          <w:sz w:val="22"/>
          <w:szCs w:val="22"/>
        </w:rPr>
        <w:t xml:space="preserve">Financial Engineering MSc Programı</w:t>
      </w:r>
    </w:p>
    <w:p>
      <w:r>
        <w:br w:type="page"/>
      </w:r>
    </w:p>
    <w:p>
      <w:pPr>
        <w:pStyle w:val="Heading1"/>
        <w:spacing w:before="280" w:after="140"/>
      </w:pPr>
      <w:r>
        <w:rPr>
          <w:rFonts w:ascii="Times New Roman" w:cs="Times New Roman" w:eastAsia="Times New Roman" w:hAnsi="Times New Roman"/>
          <w:b/>
          <w:bCs/>
          <w:sz w:val="28"/>
          <w:szCs w:val="28"/>
        </w:rPr>
        <w:t xml:space="preserve">1. ÖZET</w:t>
      </w:r>
    </w:p>
    <w:p>
      <w:pPr>
        <w:spacing w:before="0" w:after="80"/>
        <w:jc w:val="both"/>
      </w:pPr>
      <w:r>
        <w:rPr>
          <w:rFonts w:ascii="Times New Roman" w:cs="Times New Roman" w:eastAsia="Times New Roman" w:hAnsi="Times New Roman"/>
          <w:b w:val="false"/>
          <w:bCs w:val="false"/>
          <w:sz w:val="22"/>
          <w:szCs w:val="22"/>
        </w:rPr>
        <w:t xml:space="preserve">Bu çalışmada, volatilite rejim bilgisinin (Düşük/Orta/Yüksek) pekiştirmeli öğrenme tabanlı piyasa yapıcı ajanların performansına katkısı araştırılmaktadır. Proximal Policy Optimization (PPO) algoritması kullanılarak iki ajan eğitilmiştir: rejim bilgisine sahip (ppo_aware) ve rejim bilgisinden yoksun (ppo_blind). Ajanlar, Poisson varış süreçli yoğunluk tabanlı dolum modeli ve Markov zinciri rejim geçişleri içeren tamamen sentetik bir piyasa ortamında değerlendirilmiştir.</w:t>
      </w:r>
    </w:p>
    <w:p>
      <w:pPr>
        <w:spacing w:before="0" w:after="80"/>
        <w:jc w:val="both"/>
      </w:pPr>
      <w:r>
        <w:t>Yürütülen out-of-sample deney (20 bağımsız tohum, 1 milyon zaman adımı eğitim, %70/%30 walk-forward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ppo_aware, Sharpe bazında 20 tohumun 11'inde, equity bazında ise 9'unda ppo_blind'ı geride bırakmıştır.</w:t>
      </w:r>
    </w:p>
    <w:p>
      <w:pPr>
        <w:spacing w:before="0" w:after="80"/>
        <w:jc w:val="both"/>
      </w:pPr>
      <w:r>
        <w:t>Davranışsal analiz, ppo_aware ajanının rejimler arasında sınırlı eylem farklılaşması sergilediğini göstermektedir; gözlemlenen farklar performans avantajına dönüşmemektedir. Çalışma, sentetik veri ile kontrollü ortam tasarımının değerini, PPO’nun envanter risk yönetimindeki üstünlüğünü ve rejim farkındalığı hipotezi için “null result”ın yayınlanabilir bir akademik bulgu oluşturduğunu göstermektedir. Detector robustness deneyi — rv_baseline (%60.7), rv_dwell (%60.4) ve HMM (%81.8) dedektörleri ile 20 tohumda yinelenen analiz — null sonucun dedektör seçiminden bağımsız olduğunu doğrulamıştır (tüm dedektörler için Sharpe bazlı p &gt; 0.08).</w:t>
      </w:r>
    </w:p>
    <w:p>
      <w:pPr>
        <w:spacing w:before="0" w:after="80"/>
        <w:jc w:val="both"/>
      </w:pPr>
      <w:r>
        <w:rPr>
          <w:rFonts w:ascii="Times New Roman" w:cs="Times New Roman" w:eastAsia="Times New Roman" w:hAnsi="Times New Roman"/>
          <w:b w:val="false"/>
          <w:bCs w:val="false"/>
          <w:sz w:val="22"/>
          <w:szCs w:val="22"/>
        </w:rPr>
        <w:t xml:space="preserve">Anahtar kelimeler: piyasa yapıcılığı, pekiştirmeli öğrenme, PPO, volatilite rejimleri, Avellaneda-Stoikov, Poisson dolum modeli, out-of-sample değerlendirme</w:t>
      </w:r>
    </w:p>
    <w:p>
      <w:r>
        <w:br w:type="page"/>
      </w:r>
    </w:p>
    <w:p>
      <w:pPr>
        <w:pStyle w:val="Heading1"/>
        <w:spacing w:before="280" w:after="140"/>
      </w:pPr>
      <w:r>
        <w:rPr>
          <w:rFonts w:ascii="Times New Roman" w:cs="Times New Roman" w:eastAsia="Times New Roman" w:hAnsi="Times New Roman"/>
          <w:b/>
          <w:bCs/>
          <w:sz w:val="28"/>
          <w:szCs w:val="28"/>
        </w:rPr>
        <w:t xml:space="preserve">SEMBOLLER VE KISALTMALAR</w:t>
      </w:r>
    </w:p>
    <w:p>
      <w:pPr>
        <w:spacing w:before="0" w:after="80"/>
        <w:jc w:val="both"/>
      </w:pPr>
      <w:r>
        <w:rPr>
          <w:rFonts w:ascii="Times New Roman" w:cs="Times New Roman" w:eastAsia="Times New Roman" w:hAnsi="Times New Roman"/>
          <w:b w:val="false"/>
          <w:bCs w:val="false"/>
          <w:sz w:val="22"/>
          <w:szCs w:val="22"/>
        </w:rPr>
        <w:t xml:space="preserve">Bu bölümde çalışma boyunca kullanılan matematiksel semboller, Yunan harfleri ve kısaltmalar tanımlanmaktadır.</w:t>
      </w:r>
    </w:p>
    <w:p>
      <w:pPr>
        <w:pStyle w:val="Heading2"/>
        <w:spacing w:before="200" w:after="100"/>
      </w:pPr>
      <w:r>
        <w:rPr>
          <w:rFonts w:ascii="Times New Roman" w:cs="Times New Roman" w:eastAsia="Times New Roman" w:hAnsi="Times New Roman"/>
          <w:b/>
          <w:bCs/>
          <w:sz w:val="24"/>
          <w:szCs w:val="24"/>
        </w:rPr>
        <w:t xml:space="preserve">Matematiksel Semboller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anındaki mid-price (orta fiyat) [para birimi]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parametresi — mid-price’ın birim zamandaki standart sapması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σ_base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Temel volatilite parametresi; Orta (M) rejim için referans değer (0.8 tick/√saniye)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σ_L, σ_M, σ_H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Düşük, Orta ve Yüksek rejimlere karşılık gelen volatilite değerleri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 zaman adımı büyüklüğü (0.2 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z</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Standart normal rassal değişken; z ~ N(0,1)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δ tick uzaklığındaki kotasyon için Poisson dolum yoğunluğu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Sıfır uzaklıkta (δ=0) temel dolum yoğunluğu (5.0 dolum/saniye)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Dolum yoğunluğunun uzaklıkla üstel azalma hızı (1.5 tick başına)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 bid veya ask fiyatının mid-price’tan tick cinsinden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δ_bid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(alış)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δ_ask</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Ask (satış) kotasyonunun mid-price’tan uzaklığı [tick]</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P_fill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zaman adımında en az bir dolumun gerçekleşme olasılığı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Half-spread — kotasyon yarı-aralığı [tick]; h ∈ {1, 2, 3, 4, 5}</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Skew — asimetrik kotasyon kayması [tick]; m ∈ {−2, −1, 0, +1, +2}</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(inventory) — anda tutulan net pozisyon miktarı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q_norm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Normalize edilmiş envanter; q_norm = q / inv_max_clip ∈ [−1,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inv_max_clip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kırpma sınırı (50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 τ = (T − t) / T ∈ [0, 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Episode toplam adım sayısı (8000 adım)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R_t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 adımındaki ödül (reward)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η = 0.001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risk aversion parametresi; γ = 0.01</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rezervasyon fiyatı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optimal yarı-spread</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k_price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Fiyat cinsinden ifade edilen yoğunluk azalma parametresi; k_price = k / tick_size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Markov zinciri geçiş matrisi (3×3)</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p_ii</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 rejimin kendi kendine geçiş olasılığı (köşegen eleman)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Sharpe oranı — risk-düzeltmeli getiri ölçütü; Sharpe = (μ/σ) × √(1/Δt)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inv_p99</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Mutlak envanter değerinin 99. persantili [lot]</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equity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varlık değeri; equity = cash + q × M_t</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Yunan Harfleri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Sembol</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γ (gamma)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Risk aversion parametresi (Avellaneda-Stoikov modelinde)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η (eta)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Envanter ceza katsayısı (ödül fonksiyonunda)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σ (sigma)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Volatilite — fiyat değişiminin standart sapması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τ (tau)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Kalan zaman fraksiyonu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λ (lambda)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Poisson dolum yoğunluğu</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δ (delta)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Kotasyon uzaklığı (mid-price’tan tick cinsinden sapma)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μ (mu)</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Ortalama adım başına PnL (Sharpe hesabında)</w:t>
            </w:r>
          </w:p>
        </w:tc>
      </w:tr>
    </w:tbl>
    <w:p>
      <w:pPr>
        <w:spacing w:before="0" w:after="80"/>
        <w:jc w:val="both"/>
      </w:pPr>
      <w:r>
        <w:rPr>
          <w:rFonts w:ascii="Times New Roman" w:cs="Times New Roman" w:eastAsia="Times New Roman" w:hAnsi="Times New Roman"/>
          <w:b w:val="false"/>
          <w:bCs w:val="false"/>
          <w:sz w:val="22"/>
          <w:szCs w:val="22"/>
        </w:rPr>
        <w:t xml:space="preserve"/>
      </w:r>
    </w:p>
    <w:p>
      <w:pPr>
        <w:pStyle w:val="Heading2"/>
        <w:spacing w:before="200" w:after="100"/>
      </w:pPr>
      <w:r>
        <w:rPr>
          <w:rFonts w:ascii="Times New Roman" w:cs="Times New Roman" w:eastAsia="Times New Roman" w:hAnsi="Times New Roman"/>
          <w:b/>
          <w:bCs/>
          <w:sz w:val="24"/>
          <w:szCs w:val="24"/>
        </w:rPr>
        <w:t xml:space="preserve">Kısaltmalar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tblHeader/>
        </w:trP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Kısaltma</w:t>
            </w:r>
          </w:p>
        </w:tc>
        <w:tc>
          <w:tcPr>
            <w:tcW w:type="dxa" w:w="7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Açıklama</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Proximal Policy Optimization — yakınsak politika optimizasyonu algoritması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Reinforcement Learning — pekiştirmeli öğrenme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 klasik stokastik kontrol tabanlı piyasa yapıcılığı modeli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HFT</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High-Frequency Trading — yüksek frekanslı alım-satım</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OOS</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Out-of-Sample — modelin eğitilmediği veri üzerinde değerlendirme</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WP</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Work Package — iş paketi (proje aşaması)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ABM</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Arithmetic Brownian Motion — aritmetik Brownian hareketi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RV</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Realized Volatility — gerçekleşmiş volatilite (kayan pencere ile hesaplanan)</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PnL</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Profit and Loss — kar ve zarar</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Compute Unified Device Architecture — NVIDIA GPU hesaplama mimarisi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SB3</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Stable-Baselines3 — PPO implementasyonu için kullanılan Python kütüphanesi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MlpPolicy</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Multi-Layer Perceptron Policy — çok katmanlı algılayıcı politika ağı</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Generalized Advantage Estimation — genelleştirilmiş avantaj tahmini (PPO bileşeni)</w:t>
            </w:r>
          </w:p>
        </w:tc>
      </w:tr>
      <w:tr>
        <w:tc>
          <w:tcPr>
            <w:tcW w:type="dxa" w:w="18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 / M / H</w:t>
            </w:r>
          </w:p>
        </w:tc>
        <w:tc>
          <w:tcPr>
            <w:tcW w:type="dxa" w:w="7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Low / Medium / High — Düşük / Orta / Yüksek volatilite rejimleri</w:t>
            </w:r>
          </w:p>
        </w:tc>
      </w:tr>
    </w:tbl>
    <w:p>
      <w:r>
        <w:br w:type="page"/>
      </w:r>
    </w:p>
    <w:p>
      <w:pPr>
        <w:pStyle w:val="Heading1"/>
        <w:spacing w:before="280" w:after="140"/>
      </w:pPr>
      <w:r>
        <w:rPr>
          <w:rFonts w:ascii="Times New Roman" w:cs="Times New Roman" w:eastAsia="Times New Roman" w:hAnsi="Times New Roman"/>
          <w:b/>
          <w:bCs/>
          <w:sz w:val="28"/>
          <w:szCs w:val="28"/>
        </w:rPr>
        <w:t xml:space="preserve">TERİMLER SÖZLÜĞÜ</w:t>
      </w:r>
    </w:p>
    <w:p>
      <w:pPr>
        <w:spacing w:before="0" w:after="80"/>
        <w:jc w:val="both"/>
      </w:pPr>
      <w:r>
        <w:rPr>
          <w:rFonts w:ascii="Times New Roman" w:cs="Times New Roman" w:eastAsia="Times New Roman" w:hAnsi="Times New Roman"/>
          <w:b w:val="false"/>
          <w:bCs w:val="false"/>
          <w:sz w:val="22"/>
          <w:szCs w:val="22"/>
        </w:rPr>
        <w:t xml:space="preserve">Bu sözlük, çalışmada kullanılan teknik terimleri konuya aşina olmayan okuyucular için tanımlamaktadır. Terimler alfabetik sıraya göre düzenlemiştir.</w:t>
      </w:r>
    </w:p>
    <w:p>
      <w:pPr>
        <w:spacing w:before="0" w:after="60"/>
        <w:jc w:val="both"/>
      </w:pPr>
      <w:r>
        <w:rPr>
          <w:rFonts w:ascii="Times New Roman" w:cs="Times New Roman" w:eastAsia="Times New Roman" w:hAnsi="Times New Roman"/>
          <w:b w:val="false"/>
          <w:bCs w:val="false"/>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Terim</w:t>
            </w:r>
          </w:p>
        </w:tc>
        <w:tc>
          <w:tcPr>
            <w:tcW w:type="dxa" w:w="6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Tanım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Ablation (Ablasyon)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modelin belirli bir bileşeninin çıkarılarak ya da devre dışı bırakılarak etkisinin ölçülmesi amacıyla yapılan kontrollü deney. Bu çalışmada, rejim bilgisinin (use_regime=False) ve envanter ceza katsayısının (η) etkisi ablasyon deneyleriyle ölçülmüştür.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Action Space (Eylem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pekiştirmeli öğrenme ajanının her adımda seçebileceği tüm olası eylemlerin kümesi. Bu çalışmada eylem uzayı, half-spread (h) ve skew (m) değerlerinden oluşan ayrık bir yapıdadır.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Adverse Selection (Ters Seçim)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bilgili yatırımcılara karşı dezavantajlı konuma düşmesi durumu. Örneğin, fiyat hızla değişirken eski kotasyon fiyatından doldurulma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Agent (Ajan)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bir ortamda gözlem yaparak karar veren ve ödül sinyaline göre davranışını güncelleyen öğrenen sistem.</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Ask (Satış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satmaya hazır olduğu fiyat. Her zaman bid fiyatının üzerindedir.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 (Alış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almaya hazır olduğu fiyat. Her zaman ask fiyatının altındadır.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Bid-Ask Spread</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Alış ve satış fiyatı arasındaki fark. Piyasa yapıcının temel gelir kaynağıdır. Bu çalışmada tick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Brownian Motion (Brownian Hareketi)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yürüyüş modellerinin sürekli-zaman limiti. Aritmetik Brownian Hareketi’nde (ABM) fiyat değişimleri sabit ortalama ve volatilite parametrelerine sahip normal dağılımdan çekilmektedir.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(Kırpma)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değerin belirli bir aralıkla sınırlandırılması işlemi. Bu çalışmada envanter ±50 lot ile kırpılmaktadır.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Convergence (Yakınsama)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 eğitiminde politi kanın optimal ya da kararlı bir çözüe ulaşması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Entropy Coefficient (Entropi Katsayısı)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PPO’da keşif-sömürü dengesini ayarlayan hiperparametre. Yüksek değer daha fazla rassal eylem anlamına gelir. Bu çalışmada ent_coef=0.01 kullanılmıştır.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Episode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başlangıçtan bitiş koşuluna kadar süren bir tam simülasyon koşusu. Bu çalışmada bir episode 8000 zaman adımından oluşmaktadır.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Exogenous Series (Dışsal Seri)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dışında önceden üretilmiş ve tüm stratejilere aynı biçimde sunulan fiyat/volatilite serisi. Adil karşılaştırma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(Dolum)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verdiği fiyattan gerçekleşen emir eşleşmesi. Bid tarafından dolum, piyasa yapıcının envanterini artırır; ask tarafından dolum azaltır.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Fill Rate (Dolum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Toplam adım sayısına bölünen dolum sayısı. Piyasa yapıcının ne kadar aktif işlem yaptığının göstergesi.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Gymnasium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OpenAI tarafından geliştirilen, pekiştirmeli öğrenme ortamları için standart Python arayüzü. reset() ve step() metodlarını tanımlar.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Half-Spread (Yarı-Aralık)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veya ask fiyatının mid-price’tan uzaklığı. Tam spread’in yarısı. Bu çalışmada h sembolüyle gösterilir.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Hyperparameter (Hiperparametre)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Eğitim sürecinden önce kullanıcı tarafından belirlenen ve modelin nasıl öğreneçeğini kontrol eden parametre. Örnek: learning rate, batch size, γ.</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(Envanter)</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anda elinde bulundurduğu net pozisyon miktarı. Pozitif değer net uzun (long), negatif değer net kısa (short) pozisyonu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Inventory Risk (Envanter Riski)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büyük envanter pozisyonu tutarken fiyat hareketleri nedeniyle maruz kaldığı zarar riski.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Latency (Gecikme)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 yapıcının kotasyon güncellemesi ile piyasanın bu güncellemeyi işlemesi arasındaki zaman farkı. Bu çalışmada latency_steps=1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Order Book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Bekleme sırasındaki tüm alış ve satış emirlerinin fiyat-miktar listesi. Piyasa yapıcılar bu kitaba likidite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Alım-satım işlemlerinde standart birim miktar. Bu çalışmada envanter lot cinsinden ifade edilmektedir.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Markov Chain (Markov Zinciri)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Gelecekteki durumun yalnızca mevcut duruma bağlı olduğu (geçmişten bağımsız) olasılıksal süreç. Bu çalışmada rejim geçişleri için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 Making (Piyasa Yapıcılığı)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sürekli alış ve satış kotasyonu vererek likidite sağlama faaliyeti. Piyasa yapıcı, spread geliri karşılığında envanter ve adverse selection riskini üstlenir.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Mid-Price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Anlık alış (bid) ve satış (ask) fiyatlarının ortalaması. Piyasanın gerçek değerine en yakın fiyat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Model Misspecification (Model Yanlış Belirleme)</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Kullanılan modelin gerçek veri üretim sürecini tam olarak yansıtmaması durumu. Örneğin, AS modelinin sabit volatilite varsayıması.</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 Result</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Araştırma hipotezinin verilerce desteklenmediği bulgu. İstatistiksel olarak anlamlı bir fark gözlemlenmemesi durumu. Bu çalışmada rejim farkındalığı hipotezi null result ile sonuçlanmıştır.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Observation Space (Gözlem Uzayı)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Ajanın her adımda çevreden aldığı bilginin vektör temsili. Bu çalışmada 6 boyutludur: [q_norm, σ̂, τ, r_L, r_M, r_H].</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One-Hot Encoding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Kategorik bir değişkeni ikili vektörle temsil etme yöntemi. Örneğin, H rejimi için [0, 0, 1] vektörü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Out-of-Sample (OOS)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eğitilmediği, bağımsız bir veri kümesi üzerinde yapılan değerlendirme. Overfitting’i önlemek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Modelin eğitim verisine aşırı uyum sağlayarak yeni veride düşük performans göstermesi.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Percentile (Persantil)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Veri setinin belirli bir yüzdesinin altında kaldığı değer. Örneğin inv_p99, envanterin %99’unun bu değerin altında olduğunu ifade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Policy (Politika)</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gözleme göre eylem seçme stratejisi. PPO, politikayı sinir ağı parametreleri ile temsil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Poisson Process (Poisson Süreci)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Olayların bağımsız ve sabit ortalama hızda rastlantısal gerçekleştiği olasılıksal süreç. Bu çalışmada emir dolumları Poisson süreci ile modellenmektedir.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 (Proximal Policy Optimization)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John Schulman ve ark. (2017) tarafından geliştirilen politika gradyanı tabanlı RL algoritması. Politika güncellemelerini sınırlı adımlarla kısıtlayarak kararlı eğitim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Regime (Rejim)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Piyasanın belirli bir volatilite seviyesinde bulunduğu dönem. Bu çalışmada L (Düşük), M (Orta) ve H (Yüksek) olmak üzere üç rejim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Reservation Price (Rezervasyon Fiyatı)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Avellaneda-Stoikov modelinde envanter riskini içselleştiren düzeltilmiş mid-price tahmini.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Reward (Ödül)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her adımda çevreden aldığı sayısal sinyal. Bu çalışmada R_t = ΔEquity − η·q² formülü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Risk-Adjusted Return (Risk-Düzeltmeli Getiri)</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Getirinin, üstlenilen risk miktarına bölünmesiyle elde edilen performans ölçütü. Sharpe oranı en yaygın örneğtir.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Seed (Tohum)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Rastlantısal sayı üretecinin başlangıç değeri. Aynı seed ile aynı sonuçlar elde edilir; tekrarlanabilirlik için kullanılır.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Sharpe Ratio (Sharpe Oranı)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Birim risk başına elde edilen fazla getiriyi ölçen performans metriği. Sharpe = (μ/σ) × √(1/Δt) formülüyle hesaplanır.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Skew (Asimetrik Kotasyon)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Bid ve ask kotasyonlarının mid-price’a göre eşit olmayan biçimde kaydırılması. Pozitif skew, ask tarafını yaklaştırır; negatif skew bid tarafını yaklaştırır.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Stable-Baselines3 (SB3)</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PPO dahil çeşitli RL algoritmalarının güvenilir PyTorch implementasyonlarını içeren Python kütüphanesi.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State (Durum)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çevrenin belirli bir andaki tam gözlemlenebilir temsili. Observation space ile eşanlamlı kullanılmaktadır.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Sticky Transition Matrix</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Köşegen elemanları yüksek (öz-geçiş olasılığı büyük) Markov geçiş matrisi. Rejimlerin uzun süre devam etmesini sağlar.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Stochastic Control (Stokastik Kontrol)</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Rassal süreçler içeren sistemlerde optimal karar verme teorisi. Avellaneda-Stoikov modeli bu çerçeveye dayanmaktadır.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Tick</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Finansal piyasalarda fiyatın alabileceği en küçük artış birimi. Bu çalışmada tick_size = 0.01 para birimi olarak tanımlanmıştır.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Timestep (Zaman Adımı)</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Simülasyonun bir sonraki duruma geçtiği en küçük zaman birimi. Bu çalışmada Δt = 0.2 saniyedir.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(Eğitim)</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Pekiştirmeli öğrenmede ajanın politikasını ödül sinyallerine göre iteratif biçimde güncellemesi süreci.</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Variance (Varyans)</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Bir değişkenin ortalama etrafındaki yayılımının karesi. Yüksek varyans, sonuçların tutarsız olduğuna işaret eder.</w:t>
            </w:r>
          </w:p>
        </w:tc>
      </w:tr>
      <w:tr>
        <w:tc>
          <w:tcPr>
            <w:tcW w:type="dxa" w:w="2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Walk-Forward Validation</w:t>
            </w:r>
          </w:p>
        </w:tc>
        <w:tc>
          <w:tcPr>
            <w:tcW w:type="dxa" w:w="6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Zaman serisi verisini geçmişten geleceğe doğru bölerek eğitim ve test kümelerini oluşturan değerlendirme yöntemi. Look-ahead bias’ı önler.</w:t>
            </w:r>
          </w:p>
        </w:tc>
      </w:tr>
    </w:tbl>
    <w:p>
      <w:r>
        <w:br w:type="page"/>
      </w:r>
    </w:p>
    <w:p>
      <w:pPr>
        <w:pStyle w:val="Heading1"/>
        <w:spacing w:before="280" w:after="140"/>
      </w:pPr>
      <w:r>
        <w:rPr>
          <w:rFonts w:ascii="Times New Roman" w:cs="Times New Roman" w:eastAsia="Times New Roman" w:hAnsi="Times New Roman"/>
          <w:b/>
          <w:bCs/>
          <w:sz w:val="28"/>
          <w:szCs w:val="28"/>
        </w:rPr>
        <w:t xml:space="preserve">2. GİRİŞ</w:t>
      </w:r>
    </w:p>
    <w:p>
      <w:pPr>
        <w:spacing w:before="0" w:after="80"/>
        <w:jc w:val="both"/>
      </w:pPr>
      <w:r>
        <w:rPr>
          <w:rFonts w:ascii="Times New Roman" w:cs="Times New Roman" w:eastAsia="Times New Roman" w:hAnsi="Times New Roman"/>
          <w:b w:val="false"/>
          <w:bCs w:val="false"/>
          <w:sz w:val="22"/>
          <w:szCs w:val="22"/>
        </w:rPr>
        <w:t xml:space="preserve">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pPr>
        <w:spacing w:before="0" w:after="80"/>
        <w:jc w:val="both"/>
      </w:pPr>
      <w:r>
        <w:rPr>
          <w:rFonts w:ascii="Times New Roman" w:cs="Times New Roman" w:eastAsia="Times New Roman" w:hAnsi="Times New Roman"/>
          <w:b w:val="false"/>
          <w:bCs w:val="false"/>
          <w:sz w:val="22"/>
          <w:szCs w:val="22"/>
        </w:rPr>
        <w:t xml:space="preserve">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pPr>
        <w:spacing w:before="0" w:after="80"/>
        <w:jc w:val="both"/>
      </w:pPr>
      <w:r>
        <w:rPr>
          <w:rFonts w:ascii="Times New Roman" w:cs="Times New Roman" w:eastAsia="Times New Roman" w:hAnsi="Times New Roman"/>
          <w:b w:val="false"/>
          <w:bCs w:val="false"/>
          <w:sz w:val="22"/>
          <w:szCs w:val="22"/>
        </w:rPr>
        <w:t xml:space="preserve">Son yıllarda pekiştirmeli öğrenme (RL) yöntemleri, dinamik piyasa koşullarına uyum sağlayabilen ajan tasarımı için umut verici bir alternatif olarak öne çıkmıştır. PPO gibi politika gradyanı algoritmalharı, özellikle sürekli durum uzayları ve karmaşık ödül yapılarına sahip finansal ortamlarda başarıyla uygulanmıştır.</w:t>
      </w:r>
    </w:p>
    <w:p>
      <w:pPr>
        <w:spacing w:before="0" w:after="80"/>
        <w:jc w:val="both"/>
      </w:pPr>
      <w:r>
        <w:rPr>
          <w:rFonts w:ascii="Times New Roman" w:cs="Times New Roman" w:eastAsia="Times New Roman" w:hAnsi="Times New Roman"/>
          <w:b w:val="false"/>
          <w:bCs w:val="false"/>
          <w:sz w:val="22"/>
          <w:szCs w:val="22"/>
        </w:rPr>
        <w:t xml:space="preserve">Bu çalışmanın temel araştırma sorusu şudur: Volatilite rejim bilgisine (Düşük/Orta/Yüksek) erişimi olan bir PPO ajanı, bu bilgiden yoksun olan eşdegerine kıyasla daha iyi performans sergiler mi?</w:t>
      </w:r>
    </w:p>
    <w:p>
      <w:pPr>
        <w:spacing w:before="0" w:after="80"/>
        <w:jc w:val="both"/>
      </w:pPr>
      <w:r>
        <w:rPr>
          <w:rFonts w:ascii="Times New Roman" w:cs="Times New Roman" w:eastAsia="Times New Roman" w:hAnsi="Times New Roman"/>
          <w:b w:val="false"/>
          <w:bCs w:val="false"/>
          <w:sz w:val="22"/>
          <w:szCs w:val="22"/>
        </w:rPr>
        <w:t xml:space="preserve">Bu soruyu yanıtlamak için aşağıdaki katkılar sunulmaktadır:</w:t>
      </w:r>
    </w:p>
    <w:p>
      <w:pPr>
        <w:pStyle w:val="ListParagraph"/>
        <w:numPr>
          <w:ilvl w:val="0"/>
          <w:numId w:val="2"/>
        </w:numPr>
        <w:spacing w:after="60"/>
      </w:pPr>
      <w:r>
        <w:rPr>
          <w:rFonts w:ascii="Times New Roman" w:cs="Times New Roman" w:eastAsia="Times New Roman" w:hAnsi="Times New Roman"/>
          <w:sz w:val="22"/>
          <w:szCs w:val="22"/>
        </w:rPr>
        <w:t xml:space="preserve">(1) Markov zinciri rejim geçişleri ve Poisson tabanlı dolum modeli içeren kontrollü bir sentetik piyasa ortamı tasarlanmıştır.</w:t>
      </w:r>
    </w:p>
    <w:p>
      <w:pPr>
        <w:pStyle w:val="ListParagraph"/>
        <w:numPr>
          <w:ilvl w:val="0"/>
          <w:numId w:val="2"/>
        </w:numPr>
        <w:spacing w:after="60"/>
      </w:pPr>
      <w:r>
        <w:rPr>
          <w:rFonts w:ascii="Times New Roman" w:cs="Times New Roman" w:eastAsia="Times New Roman" w:hAnsi="Times New Roman"/>
          <w:sz w:val="22"/>
          <w:szCs w:val="22"/>
        </w:rPr>
        <w:t xml:space="preserve">(2) Rejim farkındalığı ablasyonu gerçekleştirilmiş; ppo_aware ve ppo_blind ajanları 20 bağımsız tohum ve walk-forward out-of-sample protokolü ile karşılaştırılmıştır.</w:t>
      </w:r>
    </w:p>
    <w:p>
      <w:pPr>
        <w:pStyle w:val="ListParagraph"/>
        <w:numPr>
          <w:ilvl w:val="0"/>
          <w:numId w:val="2"/>
        </w:numPr>
        <w:spacing w:after="60"/>
      </w:pPr>
      <w:r>
        <w:rPr>
          <w:rFonts w:ascii="Times New Roman" w:cs="Times New Roman" w:eastAsia="Times New Roman" w:hAnsi="Times New Roman"/>
          <w:sz w:val="22"/>
          <w:szCs w:val="22"/>
        </w:rPr>
        <w:t xml:space="preserve">(3) Eylem dağılımı analizi ile ajanların rejime özgü davranışsal farklılaşması incelenmiştir.</w:t>
      </w:r>
    </w:p>
    <w:p>
      <w:pPr>
        <w:spacing w:before="0" w:after="1200"/>
        <w:jc w:val="both"/>
      </w:pPr>
      <w:r>
        <w:rPr>
          <w:rFonts w:ascii="Times New Roman" w:cs="Times New Roman" w:eastAsia="Times New Roman" w:hAnsi="Times New Roman"/>
          <w:sz w:val="22"/>
          <w:szCs w:val="22"/>
        </w:rPr>
        <w:t xml:space="preserve">(4) Detector robustness analizi gerçekleştirilmiş; rv_baseline, rv_dwell ve HMM dedektörleri ile 20 tohumda yinelenen deney, null sonucun dedektör seçiminden bağımsız olduğunu doğrulamıştır.</w:t>
      </w:r>
    </w:p>
    <w:p>
      <w:r>
        <w:br w:type="page"/>
      </w:r>
    </w:p>
    <w:p>
      <w:pPr>
        <w:pStyle w:val="Heading1"/>
        <w:spacing w:before="280" w:after="140"/>
      </w:pPr>
      <w:r>
        <w:rPr>
          <w:rFonts w:ascii="Times New Roman" w:cs="Times New Roman" w:eastAsia="Times New Roman" w:hAnsi="Times New Roman"/>
          <w:b/>
          <w:bCs/>
          <w:sz w:val="28"/>
          <w:szCs w:val="28"/>
        </w:rPr>
        <w:t xml:space="preserve">3. TEORİ VE METODOLOJİ</w:t>
      </w:r>
    </w:p>
    <w:p>
      <w:pPr>
        <w:pStyle w:val="Heading2"/>
        <w:spacing w:before="200" w:after="100"/>
      </w:pPr>
      <w:r>
        <w:rPr>
          <w:rFonts w:ascii="Times New Roman" w:cs="Times New Roman" w:eastAsia="Times New Roman" w:hAnsi="Times New Roman"/>
          <w:b/>
          <w:bCs/>
          <w:sz w:val="24"/>
          <w:szCs w:val="24"/>
        </w:rPr>
        <w:t xml:space="preserve">3.1 Piyasa Modeli</w:t>
      </w:r>
    </w:p>
    <w:p>
      <w:pPr>
        <w:spacing w:before="0" w:after="80"/>
        <w:jc w:val="both"/>
      </w:pPr>
      <w:r>
        <w:rPr>
          <w:rFonts w:ascii="Times New Roman" w:cs="Times New Roman" w:eastAsia="Times New Roman" w:hAnsi="Times New Roman"/>
          <w:b w:val="false"/>
          <w:bCs w:val="false"/>
          <w:sz w:val="22"/>
          <w:szCs w:val="22"/>
        </w:rPr>
        <w:t xml:space="preserve">Piyasa fiyatı, ayrık zamanlı aritmetik Brownian hareketi (ABM) ile modellenmektedir:</w:t>
      </w:r>
    </w:p>
    <w:p>
      <w:pPr>
        <w:spacing w:before="60" w:after="60"/>
        <w:jc w:val="center"/>
      </w:pPr>
      <w:r>
        <w:rPr>
          <w:rFonts w:ascii="Times New Roman" w:cs="Times New Roman" w:eastAsia="Times New Roman" w:hAnsi="Times New Roman"/>
          <w:i/>
          <w:iCs/>
          <w:sz w:val="22"/>
          <w:szCs w:val="22"/>
        </w:rPr>
        <w:t xml:space="preserve">M_{t+1} = M_t + σ_r · √(Δt) · z,    z ~ N(0,1)</w:t>
      </w:r>
    </w:p>
    <w:p>
      <w:pPr>
        <w:spacing w:before="0" w:after="80"/>
        <w:jc w:val="both"/>
      </w:pPr>
      <w:r>
        <w:rPr>
          <w:rFonts w:ascii="Times New Roman" w:cs="Times New Roman" w:eastAsia="Times New Roman" w:hAnsi="Times New Roman"/>
          <w:b w:val="false"/>
          <w:bCs w:val="false"/>
          <w:sz w:val="22"/>
          <w:szCs w:val="22"/>
        </w:rPr>
        <w:t xml:space="preserve">Burada M_t mid-price, σ_r rejime bağlı volatilite parametresi (ticks/√saniye cinsinden), Δt = 0.2 saniye zaman adımı büyüklüğüdür. Başlangıç fiyatı M_0 = 100.0, tick büyüklüğü 0.01’dir.</w:t>
      </w:r>
    </w:p>
    <w:p>
      <w:pPr>
        <w:spacing w:before="0" w:after="80"/>
        <w:jc w:val="both"/>
      </w:pPr>
      <w:r>
        <w:rPr>
          <w:rFonts w:ascii="Times New Roman" w:cs="Times New Roman" w:eastAsia="Times New Roman" w:hAnsi="Times New Roman"/>
          <w:b w:val="false"/>
          <w:bCs w:val="false"/>
          <w:sz w:val="22"/>
          <w:szCs w:val="22"/>
        </w:rPr>
        <w:t xml:space="preserve">Temel volatilite parametresi σ_base = 0.8 tick olarak belirlenmiş; üç rejim için çarpanlar [0.6, 1.0, 1.8] olarak tanımlanmıştır. Buna göre σ_L = 0.48, σ_M = 0.80, σ_H = 1.44 tick/√saniye değerleri elde edilmektedir.</w:t>
      </w:r>
    </w:p>
    <w:p>
      <w:pPr>
        <w:pStyle w:val="Heading2"/>
        <w:spacing w:before="200" w:after="100"/>
      </w:pPr>
      <w:r>
        <w:rPr>
          <w:rFonts w:ascii="Times New Roman" w:cs="Times New Roman" w:eastAsia="Times New Roman" w:hAnsi="Times New Roman"/>
          <w:b/>
          <w:bCs/>
          <w:sz w:val="24"/>
          <w:szCs w:val="24"/>
        </w:rPr>
        <w:t xml:space="preserve">3.2 Dolum Modeli</w:t>
      </w:r>
    </w:p>
    <w:p>
      <w:pPr>
        <w:spacing w:before="0" w:after="80"/>
        <w:jc w:val="both"/>
      </w:pPr>
      <w:r>
        <w:rPr>
          <w:rFonts w:ascii="Times New Roman" w:cs="Times New Roman" w:eastAsia="Times New Roman" w:hAnsi="Times New Roman"/>
          <w:b w:val="false"/>
          <w:bCs w:val="false"/>
          <w:sz w:val="22"/>
          <w:szCs w:val="22"/>
        </w:rPr>
        <w:t xml:space="preserve">Emir dolumları, yoğunluk tabanlı Poisson süreci ile modellenmektedir. Delta tick cinsinden ifade edildiğinde, dolum yoğunluğu:</w:t>
      </w:r>
    </w:p>
    <w:p>
      <w:pPr>
        <w:spacing w:before="60" w:after="60"/>
        <w:jc w:val="center"/>
      </w:pPr>
      <w:r>
        <w:rPr>
          <w:rFonts w:ascii="Times New Roman" w:cs="Times New Roman" w:eastAsia="Times New Roman" w:hAnsi="Times New Roman"/>
          <w:i/>
          <w:iCs/>
          <w:sz w:val="22"/>
          <w:szCs w:val="22"/>
        </w:rPr>
        <w:t xml:space="preserve">λ(δ) = A · exp(−k · δ)</w:t>
      </w:r>
    </w:p>
    <w:p>
      <w:pPr>
        <w:spacing w:before="0" w:after="80"/>
        <w:jc w:val="both"/>
      </w:pPr>
      <w:r>
        <w:rPr>
          <w:rFonts w:ascii="Times New Roman" w:cs="Times New Roman" w:eastAsia="Times New Roman" w:hAnsi="Times New Roman"/>
          <w:b w:val="false"/>
          <w:bCs w:val="false"/>
          <w:sz w:val="22"/>
          <w:szCs w:val="22"/>
        </w:rPr>
        <w:t xml:space="preserve">formülüyle hesaplanmaktadır. Burada A = 5.0 (delta=0’daki temel yoğunluk, dolum/saniye) ve k = 1.5 (tick başına üstel azalma) parametreleridir. Bir zaman adımında en az bir dolumun gerçekleşme olasılığı:</w:t>
      </w:r>
    </w:p>
    <w:p>
      <w:pPr>
        <w:spacing w:before="60" w:after="60"/>
        <w:jc w:val="center"/>
      </w:pPr>
      <w:r>
        <w:rPr>
          <w:rFonts w:ascii="Times New Roman" w:cs="Times New Roman" w:eastAsia="Times New Roman" w:hAnsi="Times New Roman"/>
          <w:i/>
          <w:iCs/>
          <w:sz w:val="22"/>
          <w:szCs w:val="22"/>
        </w:rPr>
        <w:t xml:space="preserve">P_fill = 1 − exp(−λ · Δt)</w:t>
      </w:r>
    </w:p>
    <w:p>
      <w:pPr>
        <w:spacing w:before="0" w:after="80"/>
        <w:jc w:val="both"/>
      </w:pPr>
      <w:r>
        <w:rPr>
          <w:rFonts w:ascii="Times New Roman" w:cs="Times New Roman" w:eastAsia="Times New Roman" w:hAnsi="Times New Roman"/>
          <w:b w:val="false"/>
          <w:bCs w:val="false"/>
          <w:sz w:val="22"/>
          <w:szCs w:val="22"/>
        </w:rPr>
        <w:t xml:space="preserve">olarak verilmektedir. Hem bid hem ask tarafı için bağımsız Bernoulli denemeleri gerçekleştirilmektedir.</w:t>
      </w:r>
    </w:p>
    <w:p>
      <w:pPr>
        <w:spacing w:before="0" w:after="80"/>
        <w:jc w:val="both"/>
      </w:pPr>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spacing w:before="200" w:after="100"/>
      </w:pPr>
      <w:r>
        <w:rPr>
          <w:rFonts w:ascii="Times New Roman" w:cs="Times New Roman" w:eastAsia="Times New Roman" w:hAnsi="Times New Roman"/>
          <w:b/>
          <w:bCs/>
          <w:sz w:val="24"/>
          <w:szCs w:val="24"/>
        </w:rPr>
        <w:t xml:space="preserve">3.3 Rejim Modeli</w:t>
      </w:r>
    </w:p>
    <w:p>
      <w:pPr>
        <w:spacing w:before="0" w:after="80"/>
        <w:jc w:val="both"/>
      </w:pPr>
      <w:r>
        <w:rPr>
          <w:rFonts w:ascii="Times New Roman" w:cs="Times New Roman" w:eastAsia="Times New Roman" w:hAnsi="Times New Roman"/>
          <w:b w:val="false"/>
          <w:bCs w:val="false"/>
          <w:sz w:val="22"/>
          <w:szCs w:val="22"/>
        </w:rPr>
        <w:t xml:space="preserve">Volatilite rejimleri, üç durumlu (L: Düşük, M: Orta, H: Yüksek) birinci derece Markov zinciri ile üretilmektedir. Geçiş matrisi yapışkan (sticky) olacak şekilde tasarlanmıştır:</w:t>
      </w:r>
    </w:p>
    <w:p>
      <w:pPr>
        <w:spacing w:before="60" w:after="60"/>
        <w:jc w:val="center"/>
      </w:pPr>
      <w:r>
        <w:rPr>
          <w:rFonts w:ascii="Times New Roman" w:cs="Times New Roman" w:eastAsia="Times New Roman" w:hAnsi="Times New Roman"/>
          <w:i/>
          <w:iCs/>
          <w:sz w:val="22"/>
          <w:szCs w:val="22"/>
        </w:rPr>
        <w:t xml:space="preserve">P = [[0.9967, 0.0023, 0.0010], [0.0042, 0.9917, 0.0041], [0.0010, 0.0030, 0.9960]]</w:t>
      </w:r>
    </w:p>
    <w:p>
      <w:pPr>
        <w:spacing w:before="0" w:after="80"/>
        <w:jc w:val="both"/>
      </w:pPr>
      <w:r>
        <w:rPr>
          <w:rFonts w:ascii="Times New Roman" w:cs="Times New Roman" w:eastAsia="Times New Roman" w:hAnsi="Times New Roman"/>
          <w:b w:val="false"/>
          <w:bCs w:val="false"/>
          <w:sz w:val="22"/>
          <w:szCs w:val="22"/>
        </w:rPr>
        <w:t xml:space="preserve">Beklenen rejim süreleri sırasıyla L: ~300, M: ~120, H: ~250 zaman adımıdır. Bu yapışkanlık, kayan gerçekleşmiş volatilite (rolling realized volatility — RV) ile rejim tespitinin mümkün olmasını sağlamaktadır.</w:t>
      </w:r>
    </w:p>
    <w:p>
      <w:pPr>
        <w:spacing w:before="0" w:after="80"/>
        <w:jc w:val="both"/>
      </w:pPr>
      <w:r>
        <w:rPr>
          <w:rFonts w:ascii="Times New Roman" w:cs="Times New Roman" w:eastAsia="Times New Roman" w:hAnsi="Times New Roman"/>
          <w:b w:val="false"/>
          <w:bCs w:val="false"/>
          <w:sz w:val="22"/>
          <w:szCs w:val="22"/>
        </w:rPr>
        <w:t xml:space="preserve">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pPr>
        <w:spacing w:before="0" w:after="80"/>
        <w:jc w:val="both"/>
      </w:pPr>
      <w:r>
        <w:rPr>
          <w:rFonts w:ascii="Times New Roman" w:cs="Times New Roman" w:eastAsia="Times New Roman" w:hAnsi="Times New Roman"/>
          <w:sz w:val="24"/>
          <w:szCs w:val="24"/>
        </w:rPr>
        <w:t xml:space="preserve">Detector robustness analizi kapsamında iki ek tespit yöntemi karşılaştırılmıştır: (i) dwell filtreli RV (rv_dwell): kısa süreli (&lt;5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spacing w:before="200" w:after="100"/>
      </w:pPr>
      <w:r>
        <w:rPr>
          <w:rFonts w:ascii="Times New Roman" w:cs="Times New Roman" w:eastAsia="Times New Roman" w:hAnsi="Times New Roman"/>
          <w:b/>
          <w:bCs/>
          <w:sz w:val="24"/>
          <w:szCs w:val="24"/>
        </w:rPr>
        <w:t xml:space="preserve">3.4 Gymnasium Ortamı</w:t>
      </w:r>
    </w:p>
    <w:p>
      <w:pPr>
        <w:spacing w:before="0" w:after="80"/>
        <w:jc w:val="both"/>
      </w:pPr>
      <w:r>
        <w:rPr>
          <w:rFonts w:ascii="Times New Roman" w:cs="Times New Roman" w:eastAsia="Times New Roman" w:hAnsi="Times New Roman"/>
          <w:b w:val="false"/>
          <w:bCs w:val="false"/>
          <w:sz w:val="22"/>
          <w:szCs w:val="22"/>
        </w:rPr>
        <w:t xml:space="preserve">OpenAI Gymnasium uyumlu MMEnv ortamı oluşturulmuştur. Gözlem uzayı 6 boyutludur:</w:t>
      </w:r>
    </w:p>
    <w:p>
      <w:pPr>
        <w:spacing w:before="60" w:after="60"/>
        <w:jc w:val="center"/>
      </w:pPr>
      <w:r>
        <w:rPr>
          <w:rFonts w:ascii="Times New Roman" w:cs="Times New Roman" w:eastAsia="Times New Roman" w:hAnsi="Times New Roman"/>
          <w:i/>
          <w:iCs/>
          <w:sz w:val="22"/>
          <w:szCs w:val="22"/>
        </w:rPr>
        <w:t xml:space="preserve">obs = [q_norm, σ̂_t, τ, r_L, r_M, r_H]</w:t>
      </w:r>
    </w:p>
    <w:p>
      <w:pPr>
        <w:spacing w:before="0" w:after="80"/>
        <w:jc w:val="both"/>
      </w:pPr>
      <w:r>
        <w:t>Burada q_norm = clip(inv, −50, 50) / inv_max_clip envanter normalizasyonu, σ̂_t kayan gerçekleşmiş volatilite, τ = (T−t)/T kalan zaman fraksiyonu, r_L/r_M/r_H ise rejim one-hot kodlamasıdır (ppo_blind için hepsi sıfır).</w:t>
      </w:r>
    </w:p>
    <w:p>
      <w:pPr>
        <w:spacing w:before="0" w:after="80"/>
        <w:jc w:val="both"/>
      </w:pPr>
      <w:r>
        <w:rPr>
          <w:rFonts w:ascii="Times New Roman" w:cs="Times New Roman" w:eastAsia="Times New Roman" w:hAnsi="Times New Roman"/>
          <w:b w:val="false"/>
          <w:bCs w:val="false"/>
          <w:sz w:val="22"/>
          <w:szCs w:val="22"/>
        </w:rPr>
        <w:t xml:space="preserve">Eylem uzayı MultiDiscrete([5, 5]) şeklinde tanımlanmıştır:</w:t>
      </w:r>
    </w:p>
    <w:p>
      <w:pPr>
        <w:spacing w:before="60" w:after="60"/>
        <w:jc w:val="center"/>
      </w:pPr>
      <w:r>
        <w:rPr>
          <w:rFonts w:ascii="Times New Roman" w:cs="Times New Roman" w:eastAsia="Times New Roman" w:hAnsi="Times New Roman"/>
          <w:i/>
          <w:iCs/>
          <w:sz w:val="22"/>
          <w:szCs w:val="22"/>
        </w:rPr>
        <w:t xml:space="preserve">h_idx ∈ {0,1,2,3,4}  →  h = h_idx + 1 tick  (half-spread)</w:t>
      </w:r>
    </w:p>
    <w:p>
      <w:pPr>
        <w:spacing w:before="60" w:after="60"/>
        <w:jc w:val="center"/>
      </w:pPr>
      <w:r>
        <w:rPr>
          <w:rFonts w:ascii="Times New Roman" w:cs="Times New Roman" w:eastAsia="Times New Roman" w:hAnsi="Times New Roman"/>
          <w:i/>
          <w:iCs/>
          <w:sz w:val="22"/>
          <w:szCs w:val="22"/>
        </w:rPr>
        <w:t xml:space="preserve">m_idx ∈ {0,1,2,3,4}  →  m = m_idx − 2 tick  (skew)</w:t>
      </w:r>
    </w:p>
    <w:p>
      <w:pPr>
        <w:spacing w:before="60" w:after="60"/>
        <w:jc w:val="center"/>
      </w:pPr>
      <w:r>
        <w:rPr>
          <w:rFonts w:ascii="Times New Roman" w:cs="Times New Roman" w:eastAsia="Times New Roman" w:hAnsi="Times New Roman"/>
          <w:i/>
          <w:iCs/>
          <w:sz w:val="22"/>
          <w:szCs w:val="22"/>
        </w:rPr>
        <w:t xml:space="preserve">δ_bid = max(1, h + m)</w:t>
      </w:r>
    </w:p>
    <w:p>
      <w:pPr>
        <w:spacing w:before="60" w:after="60"/>
        <w:jc w:val="center"/>
      </w:pPr>
      <w:r>
        <w:rPr>
          <w:rFonts w:ascii="Times New Roman" w:cs="Times New Roman" w:eastAsia="Times New Roman" w:hAnsi="Times New Roman"/>
          <w:i/>
          <w:iCs/>
          <w:sz w:val="22"/>
          <w:szCs w:val="22"/>
        </w:rPr>
        <w:t xml:space="preserve">δ_ask = max(1, h − m)</w:t>
      </w:r>
    </w:p>
    <w:p>
      <w:pPr>
        <w:spacing w:before="0" w:after="80"/>
        <w:jc w:val="both"/>
      </w:pPr>
      <w:r>
        <w:rPr>
          <w:rFonts w:ascii="Times New Roman" w:cs="Times New Roman" w:eastAsia="Times New Roman" w:hAnsi="Times New Roman"/>
          <w:b w:val="false"/>
          <w:bCs w:val="false"/>
          <w:sz w:val="22"/>
          <w:szCs w:val="22"/>
        </w:rPr>
        <w:t xml:space="preserve">Ödül fonksiyonu şu şekilde tanımlanmıştır:</w:t>
      </w:r>
    </w:p>
    <w:p>
      <w:pPr>
        <w:spacing w:before="60" w:after="60"/>
        <w:jc w:val="center"/>
      </w:pPr>
      <w:r>
        <w:rPr>
          <w:rFonts w:ascii="Times New Roman" w:cs="Times New Roman" w:eastAsia="Times New Roman" w:hAnsi="Times New Roman"/>
          <w:i/>
          <w:iCs/>
          <w:sz w:val="22"/>
          <w:szCs w:val="22"/>
        </w:rPr>
        <w:t xml:space="preserve">R_t = (equity_t − equity_{t−1}) − η · inv_t²</w:t>
      </w:r>
    </w:p>
    <w:p>
      <w:pPr>
        <w:spacing w:before="0" w:after="80"/>
        <w:jc w:val="both"/>
      </w:pPr>
      <w:r>
        <w:t>Burada η = 0.001 envanter ceza katsayısıdır (η ablasyonu ile optimize edilmiştir). (Kodda ek bir skew cezası terimi (c·|m|) bulunmakla birlikte, ana deneylerde c=0 olarak sabitlenmiş ve bu terim etkisiz bırakılmıştır; skew ablasyonu §3.5'te ele alınmaktadır.)</w:t>
      </w:r>
    </w:p>
    <w:p>
      <w:pPr>
        <w:pStyle w:val="Heading2"/>
        <w:spacing w:before="200" w:after="100"/>
      </w:pPr>
      <w:r>
        <w:rPr>
          <w:rFonts w:ascii="Times New Roman" w:cs="Times New Roman" w:eastAsia="Times New Roman" w:hAnsi="Times New Roman"/>
          <w:b/>
          <w:bCs/>
          <w:sz w:val="24"/>
          <w:szCs w:val="24"/>
        </w:rPr>
        <w:t xml:space="preserve">3.5 Referans Stratejiler</w:t>
      </w:r>
    </w:p>
    <w:p>
      <w:pPr>
        <w:pStyle w:val="Heading3"/>
        <w:spacing w:before="160" w:after="80"/>
      </w:pPr>
      <w:r>
        <w:rPr>
          <w:rFonts w:ascii="Times New Roman" w:cs="Times New Roman" w:eastAsia="Times New Roman" w:hAnsi="Times New Roman"/>
          <w:b/>
          <w:bCs/>
          <w:sz w:val="22"/>
          <w:szCs w:val="22"/>
        </w:rPr>
        <w:t xml:space="preserve">3.5.1 Naif Sabit-Spread Stratejisi</w:t>
      </w:r>
    </w:p>
    <w:p>
      <w:pPr>
        <w:spacing w:before="0" w:after="80"/>
        <w:jc w:val="both"/>
      </w:pPr>
      <w:r>
        <w:rPr>
          <w:rFonts w:ascii="Times New Roman" w:cs="Times New Roman" w:eastAsia="Times New Roman" w:hAnsi="Times New Roman"/>
          <w:b w:val="false"/>
          <w:bCs w:val="false"/>
          <w:sz w:val="22"/>
          <w:szCs w:val="22"/>
        </w:rPr>
        <w:t xml:space="preserve">Her zaman adımında simetrik sabit half-spread uygulanmaktadır: δ_bid = δ_ask = h = 2 tick. Envanter farkındalığı veya skew mekanizması içermemektedir.</w:t>
      </w:r>
    </w:p>
    <w:p>
      <w:pPr>
        <w:pStyle w:val="Heading3"/>
        <w:spacing w:before="160" w:after="80"/>
      </w:pPr>
      <w:r>
        <w:rPr>
          <w:rFonts w:ascii="Times New Roman" w:cs="Times New Roman" w:eastAsia="Times New Roman" w:hAnsi="Times New Roman"/>
          <w:b/>
          <w:bCs/>
          <w:sz w:val="22"/>
          <w:szCs w:val="22"/>
        </w:rPr>
        <w:t xml:space="preserve">3.5.2 Avellaneda-Stoikov Stratejisi</w:t>
      </w:r>
    </w:p>
    <w:p>
      <w:pPr>
        <w:spacing w:before="0" w:after="80"/>
        <w:jc w:val="both"/>
      </w:pPr>
      <w:r>
        <w:rPr>
          <w:rFonts w:ascii="Times New Roman" w:cs="Times New Roman" w:eastAsia="Times New Roman" w:hAnsi="Times New Roman"/>
          <w:b w:val="false"/>
          <w:bCs w:val="false"/>
          <w:sz w:val="22"/>
          <w:szCs w:val="22"/>
        </w:rPr>
        <w:t xml:space="preserve">Rezervasyon fiyatı ve yarı-spread şu formüllerle hesaplanmaktadır:</w:t>
      </w:r>
    </w:p>
    <w:p>
      <w:pPr>
        <w:spacing w:before="60" w:after="60"/>
        <w:jc w:val="center"/>
      </w:pPr>
      <w:r>
        <w:rPr>
          <w:rFonts w:ascii="Times New Roman" w:cs="Times New Roman" w:eastAsia="Times New Roman" w:hAnsi="Times New Roman"/>
          <w:i/>
          <w:iCs/>
          <w:sz w:val="22"/>
          <w:szCs w:val="22"/>
        </w:rPr>
        <w:t xml:space="preserve">r = mid − q · γ · σ² · τ</w:t>
      </w:r>
    </w:p>
    <w:p>
      <w:pPr>
        <w:spacing w:before="60" w:after="60"/>
        <w:jc w:val="center"/>
      </w:pPr>
      <w:r>
        <w:rPr>
          <w:rFonts w:ascii="Times New Roman" w:cs="Times New Roman" w:eastAsia="Times New Roman" w:hAnsi="Times New Roman"/>
          <w:i/>
          <w:iCs/>
          <w:sz w:val="22"/>
          <w:szCs w:val="22"/>
        </w:rPr>
        <w:t xml:space="preserve">d = ½ · γ · σ² · τ + (1/γ) · ln(1 + γ/k_price)</w:t>
      </w:r>
    </w:p>
    <w:p>
      <w:pPr>
        <w:spacing w:before="0" w:after="80"/>
        <w:jc w:val="both"/>
      </w:pPr>
      <w:r>
        <w:rPr>
          <w:rFonts w:ascii="Times New Roman" w:cs="Times New Roman" w:eastAsia="Times New Roman" w:hAnsi="Times New Roman"/>
          <w:b w:val="false"/>
          <w:bCs w:val="false"/>
          <w:sz w:val="22"/>
          <w:szCs w:val="22"/>
        </w:rPr>
        <w:t xml:space="preserve">Burada γ = 0.01 risk aversion parametresi, k_price = k_ticks / tick_size fiyat cinsinden yoğunluk azalma parametresidir. Delta değerleri [1, 25] tick aralığında kırpılmaktadır.</w:t>
      </w:r>
    </w:p>
    <w:p>
      <w:pPr>
        <w:pStyle w:val="Heading2"/>
        <w:spacing w:before="200" w:after="100"/>
      </w:pPr>
      <w:r>
        <w:rPr>
          <w:rFonts w:ascii="Times New Roman" w:cs="Times New Roman" w:eastAsia="Times New Roman" w:hAnsi="Times New Roman"/>
          <w:b/>
          <w:bCs/>
          <w:sz w:val="24"/>
          <w:szCs w:val="24"/>
        </w:rPr>
        <w:t xml:space="preserve">3.6 PPO Eğitimi ve Değerlendirme Protokolü</w:t>
      </w:r>
    </w:p>
    <w:p>
      <w:pPr>
        <w:spacing w:before="0" w:after="80"/>
        <w:jc w:val="both"/>
      </w:pPr>
      <w:r>
        <w:rPr>
          <w:rFonts w:ascii="Times New Roman" w:cs="Times New Roman" w:eastAsia="Times New Roman" w:hAnsi="Times New Roman"/>
          <w:b w:val="false"/>
          <w:bCs w:val="false"/>
          <w:sz w:val="22"/>
          <w:szCs w:val="22"/>
        </w:rPr>
        <w:t xml:space="preserve">Stable-Baselines3 kütüphanesi kullanılarak PPO eğitimi gerçekleştirilmiştir. Hiperparametreler: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tblHeader/>
        </w:trPr>
        <w:tc>
          <w:tcPr>
            <w:tcW w:type="dxa" w:w="3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Parametre</w:t>
            </w:r>
          </w:p>
        </w:tc>
        <w:tc>
          <w:tcPr>
            <w:tcW w:type="dxa" w:w="55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Değer</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total_timesteps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1.000.000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learning_rate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0.0003</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n_steps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2048</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batch_size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n_epochs</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gamma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0.999</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gae_lambda</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0.95</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clip_range</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w:t>
            </w:r>
          </w:p>
        </w:tc>
      </w:tr>
      <w:tr>
        <w:tc>
          <w:tcPr>
            <w:tcW w:type="dxa" w:w="3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ent_coef</w:t>
            </w:r>
          </w:p>
        </w:tc>
        <w:tc>
          <w:tcPr>
            <w:tcW w:type="dxa" w:w="55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bl>
    <w:p>
      <w:pPr>
        <w:spacing w:before="0" w:after="60"/>
        <w:jc w:val="both"/>
      </w:pPr>
      <w:r>
        <w:rPr>
          <w:rFonts w:ascii="Times New Roman" w:cs="Times New Roman" w:eastAsia="Times New Roman" w:hAnsi="Times New Roman"/>
          <w:b w:val="false"/>
          <w:bCs w:val="false"/>
          <w:sz w:val="22"/>
          <w:szCs w:val="22"/>
        </w:rPr>
        <w:t xml:space="preserve"/>
      </w:r>
    </w:p>
    <w:p>
      <w:pPr>
        <w:spacing w:before="0" w:after="80"/>
        <w:jc w:val="both"/>
      </w:pPr>
      <w:r>
        <w:rPr>
          <w:rFonts w:ascii="Times New Roman" w:cs="Times New Roman" w:eastAsia="Times New Roman" w:hAnsi="Times New Roman"/>
          <w:b w:val="false"/>
          <w:bCs w:val="false"/>
          <w:sz w:val="22"/>
          <w:szCs w:val="22"/>
        </w:rPr>
        <w:t xml:space="preserve">Her seed için episode uzunluğu 8000 adım olup walk-forward bölünmesi %70/%30 (train: 5600, test: 2400 adım) şeklinde uygulanmıştır. Değerlendirme yalnızca test bölümünden gerçekleştirilmektedir. Toplam 20 bağımsız tohum kullanılmıştır (seeds: 1–20). Eğitim GPU üzerinde gerçekleştirilmiştir (NVIDIA CUDA, PyTorch 2.6.0+cu124).</w:t>
      </w:r>
    </w:p>
    <w:p>
      <w:r>
        <w:br w:type="page"/>
      </w:r>
    </w:p>
    <w:p>
      <w:pPr>
        <w:pStyle w:val="Heading1"/>
        <w:spacing w:before="280" w:after="140"/>
      </w:pPr>
      <w:r>
        <w:rPr>
          <w:rFonts w:ascii="Times New Roman" w:cs="Times New Roman" w:eastAsia="Times New Roman" w:hAnsi="Times New Roman"/>
          <w:b/>
          <w:bCs/>
          <w:sz w:val="28"/>
          <w:szCs w:val="28"/>
        </w:rPr>
        <w:t xml:space="preserve">4. SONUÇLAR VE TARTIŞMA</w:t>
      </w:r>
    </w:p>
    <w:p>
      <w:pPr>
        <w:pStyle w:val="Heading2"/>
        <w:spacing w:before="200" w:after="100"/>
      </w:pPr>
      <w:r>
        <w:rPr>
          <w:rFonts w:ascii="Times New Roman" w:cs="Times New Roman" w:eastAsia="Times New Roman" w:hAnsi="Times New Roman"/>
          <w:b/>
          <w:bCs/>
          <w:sz w:val="24"/>
          <w:szCs w:val="24"/>
        </w:rPr>
        <w:t xml:space="preserve">4.1 Ana Deney Sonuçları (20 Tohum, OOS)</w:t>
      </w:r>
    </w:p>
    <w:p>
      <w:pPr>
        <w:spacing w:before="80" w:after="100"/>
      </w:pPr>
      <w:r>
        <w:rPr>
          <w:rFonts w:ascii="Times New Roman" w:cs="Times New Roman" w:eastAsia="Times New Roman" w:hAnsi="Times New Roman"/>
          <w:b/>
          <w:bCs/>
          <w:i/>
          <w:iCs/>
          <w:sz w:val="22"/>
          <w:szCs w:val="22"/>
        </w:rPr>
        <w:t xml:space="preserve">Tablo 1. Out-of-Sample Performans Özeti (20 Tohum, Ortalama ± Std)</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000"/>
        <w:gridCol w:w="1500"/>
        <w:gridCol w:w="1200"/>
        <w:gridCol w:w="1270"/>
      </w:tblGrid>
      <w:tr>
        <w:trPr>
          <w:tblHeader/>
        </w:trPr>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Equity</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w:t>
            </w:r>
          </w:p>
        </w:tc>
        <w:tc>
          <w:tcPr>
            <w:tcW w:type="dxa" w:w="15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Sharpe</w:t>
            </w:r>
          </w:p>
        </w:tc>
        <w:tc>
          <w:tcPr>
            <w:tcW w:type="dxa" w:w="1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inv_p99</w:t>
            </w:r>
          </w:p>
        </w:tc>
        <w:tc>
          <w:tcPr>
            <w:tcW w:type="dxa" w:w="127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Fill Rate</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4.72</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0.105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29.95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0.444</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4.49</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3.49</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0.126</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21.20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0.119</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4.10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0.715</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2.00</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0.236</w:t>
            </w:r>
          </w:p>
        </w:tc>
      </w:tr>
      <w:tr>
        <w:tc>
          <w:tcPr>
            <w:tcW w:type="dxa" w:w="16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0.71</w:t>
            </w:r>
          </w:p>
        </w:tc>
        <w:tc>
          <w:tcPr>
            <w:tcW w:type="dxa" w:w="15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0.740</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2.05</w:t>
            </w:r>
          </w:p>
        </w:tc>
        <w:tc>
          <w:tcPr>
            <w:tcW w:type="dxa" w:w="127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0.232</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after="80"/>
        <w:jc w:val="both"/>
      </w:pPr>
      <w:r>
        <w:rPr>
          <w:rFonts w:ascii="Times New Roman" w:cs="Times New Roman" w:eastAsia="Times New Roman" w:hAnsi="Times New Roman"/>
          <w:b/>
          <w:bCs/>
          <w:sz w:val="22"/>
          <w:szCs w:val="22"/>
        </w:rPr>
        <w:t xml:space="preserve">Birinci bulgu — PPO’nun Sharpe Üstünlüğü: </w:t>
      </w:r>
      <w:r>
        <w:rPr>
          <w:rFonts w:ascii="Times New Roman" w:cs="Times New Roman" w:eastAsia="Times New Roman" w:hAnsi="Times New Roman"/>
          <w:sz w:val="22"/>
          <w:szCs w:val="22"/>
        </w:rPr>
        <w:t xml:space="preserve">Her iki PPO varyantı da Sharpe oranı açısından klasik referans stratejileri karşısında belirgin üstünlük sergilemiştir. ppo_aware ortalama Sharpe = 0.715, ppo_blind ise 0.740 değeri elde ederken, AS için bu değer 0.105, naif strateji için ise 0.126 olarak ölçülmüştür. Bu fark yaklaşık 6–7 kat büyüklüğündedir ve temel mekanizması envanter kontroldür: PPO varyantları inv_p99 ≈ 2 tick düzeyinde çalışırken, AS ve naif stratejiler sırasıyla 29.95 ve 21.20 değerlerine ulaşmaktadır. Yüksek envanter, kümülatif değerleme volatilitesini artırarak Sharpe oranını düşürmektedir.</w:t>
      </w:r>
    </w:p>
    <w:p>
      <w:pPr>
        <w:spacing w:after="80"/>
        <w:jc w:val="both"/>
      </w:pPr>
      <w:r>
        <w:t>İkinci bulgu — Null Sonuç: Rejim Farkındalığı Hipotezi Desteklenmedi: ppo_aware, Sharpe bazında 20 tohumun 11'inde, equity bazında ise 9'unda ppo_blind'ı geride bırakmıştır. Wilcoxon işaretli sıra testi sonuçlarına göre, Sharpe oranı açısından iki ajan arasında istatistiksel olarak anlamlı bir fark bulunamamıştır (p=0.261). Bununla birlikte, nihai öz sermaye (equity) açısından gerçekleştirilen eşleştirilmiş t-testi, PPO-blind lehine anlamlı bir fark ortaya koymuştur (t=−2.47, p=0.023). Bu bulgu, rejim farkındalığının tek başına performans üstünlüğü sağlamadığını ve birincil değerlendirme metriği olan Sharpe oranı açısından iki strateji arasında anlamlı bir farkın gözlemlenmediğini göstermektedir.</w:t>
      </w:r>
    </w:p>
    <w:p>
      <w:pPr>
        <w:spacing w:after="80"/>
        <w:jc w:val="both"/>
      </w:pPr>
      <w:r>
        <w:rPr>
          <w:rFonts w:ascii="Times New Roman" w:cs="Times New Roman" w:eastAsia="Times New Roman" w:hAnsi="Times New Roman"/>
          <w:b/>
          <w:bCs/>
          <w:sz w:val="22"/>
          <w:szCs w:val="22"/>
        </w:rPr>
        <w:t xml:space="preserve">Üçüncü bulgu — PPO Varyans Avantajı: </w:t>
      </w:r>
      <w:r>
        <w:rPr>
          <w:rFonts w:ascii="Times New Roman" w:cs="Times New Roman" w:eastAsia="Times New Roman" w:hAnsi="Times New Roman"/>
          <w:sz w:val="22"/>
          <w:szCs w:val="22"/>
        </w:rPr>
        <w:t xml:space="preserve">PPO varyantlarının equity std değerleri (0.71–0.78) AS (4.72) ve naif (3.49) stratejilerine kıyasla belirgin biçimde düşüktür. Bu durum, PPO’nun yalnızca daha yüksek Sharpe oranı değil, aynı zamanda daha tutarlı ve güvenilir bir performans profili sunduğuna işaret etmektedir.</w:t>
      </w:r>
    </w:p>
    <w:p>
      <w:pPr>
        <w:spacing w:before="0" w:after="80"/>
        <w:jc w:val="both"/>
      </w:pPr>
      <w:r>
        <w:rPr>
          <w:rFonts w:ascii="Times New Roman" w:cs="Times New Roman" w:eastAsia="Times New Roman" w:hAnsi="Times New Roman"/>
          <w:b w:val="false"/>
          <w:bCs w:val="false"/>
          <w:sz w:val="22"/>
          <w:szCs w:val="22"/>
        </w:rPr>
        <w:t xml:space="preserve">Bu null sonuç için üç açıklayıcı hipotez öne sürülmektedir:</w:t>
      </w:r>
    </w:p>
    <w:p>
      <w:pPr>
        <w:pStyle w:val="ListParagraph"/>
        <w:numPr>
          <w:ilvl w:val="0"/>
          <w:numId w:val="2"/>
        </w:numPr>
        <w:spacing w:after="60"/>
      </w:pPr>
      <w:r>
        <w:rPr>
          <w:rFonts w:ascii="Times New Roman" w:cs="Times New Roman" w:eastAsia="Times New Roman" w:hAnsi="Times New Roman"/>
          <w:sz w:val="22"/>
          <w:szCs w:val="22"/>
        </w:rPr>
        <w:t xml:space="preserve">(a) Gözlem uzayında σ̂_t değeri hali hazırda mevcut olduğundan, one-hot rejim kodlaması σ̂_t’den türetilmiş bilgiyi yedekli biçimde sunmakta ve marjinal katkı sağlamamaktadır.</w:t>
      </w:r>
    </w:p>
    <w:p>
      <w:pPr>
        <w:pStyle w:val="ListParagraph"/>
        <w:numPr>
          <w:ilvl w:val="0"/>
          <w:numId w:val="2"/>
        </w:numPr>
        <w:spacing w:after="60"/>
      </w:pPr>
      <w:r>
        <w:rPr>
          <w:rFonts w:ascii="Times New Roman" w:cs="Times New Roman" w:eastAsia="Times New Roman" w:hAnsi="Times New Roman"/>
          <w:sz w:val="22"/>
          <w:szCs w:val="22"/>
        </w:rPr>
        <w:t xml:space="preserve">(b) Ödül fonksiyonu rejime özgü davranışı doğrudan teşvik etmediğinden, rejim bilgisini performansa dönüştürmek için sinyal yetersiz kalmaktadır.</w:t>
      </w:r>
    </w:p>
    <w:p>
      <w:pPr>
        <w:pStyle w:val="ListParagraph"/>
        <w:numPr>
          <w:ilvl w:val="0"/>
          <w:numId w:val="2"/>
        </w:numPr>
        <w:spacing w:after="60"/>
      </w:pPr>
      <w:r>
        <w:rPr>
          <w:rFonts w:ascii="Times New Roman" w:cs="Times New Roman" w:eastAsia="Times New Roman" w:hAnsi="Times New Roman"/>
          <w:sz w:val="22"/>
          <w:szCs w:val="22"/>
        </w:rPr>
        <w:t xml:space="preserve">(c) Detector robustness deneyi bu hipotezi geçersiz kılmaktadır: %81.8 doğruluklu HMM dedektörü ile dahi null sonuç korunmaktadır (p=0.082). Dolayısıyla tespit kalitesi belirleyici değildir; açıklayıcı güç (a) hipotezinde yoğunlaşmaktadır.</w:t>
      </w:r>
    </w:p>
    <w:p>
      <w:pPr>
        <w:pStyle w:val="Heading2"/>
        <w:spacing w:before="200" w:after="100"/>
      </w:pPr>
      <w:r>
        <w:rPr>
          <w:rFonts w:ascii="Times New Roman" w:cs="Times New Roman" w:eastAsia="Times New Roman" w:hAnsi="Times New Roman"/>
          <w:b/>
          <w:bCs/>
          <w:sz w:val="24"/>
          <w:szCs w:val="24"/>
        </w:rPr>
        <w:t xml:space="preserve">4.2 Eylem Analizi (Davranışsal Farklılaşma)</w:t>
      </w:r>
    </w:p>
    <w:p>
      <w:pPr>
        <w:spacing w:before="80" w:after="100"/>
      </w:pPr>
      <w:r>
        <w:rPr>
          <w:rFonts w:ascii="Times New Roman" w:cs="Times New Roman" w:eastAsia="Times New Roman" w:hAnsi="Times New Roman"/>
          <w:b/>
          <w:bCs/>
          <w:i/>
          <w:iCs/>
          <w:sz w:val="22"/>
          <w:szCs w:val="22"/>
        </w:rPr>
        <w:t xml:space="preserve">Tablo 2. Rejim Bazında Eylem Dağılımı (Ortalama ± Std, 20 Tohum)</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900"/>
        <w:gridCol w:w="1000"/>
        <w:gridCol w:w="900"/>
        <w:gridCol w:w="100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Strateji</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Rejim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h</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h</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Ort. m</w:t>
            </w:r>
          </w:p>
        </w:tc>
        <w:tc>
          <w:tcPr>
            <w:tcW w:type="dxa" w:w="9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Std m</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P(h=5)</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AS</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Naif</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2.00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0.63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-0.05</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1.68</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-0.01</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0.008</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ppo_aware</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1.74</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0.71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1.39</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-0.03</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1.42</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0.41</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0.23</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ppo_blind</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H</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1.60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0.42</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w:t>
            </w:r>
          </w:p>
        </w:tc>
        <w:tc>
          <w:tcPr>
            <w:tcW w:type="dxa" w:w="9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0.17</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r>
              <w:t>0.000</w:t>
            </w:r>
          </w:p>
        </w:tc>
      </w:tr>
    </w:tbl>
    <w:p>
      <w:pPr>
        <w:spacing w:before="0" w:after="80"/>
        <w:jc w:val="both"/>
      </w:pPr>
      <w:r>
        <w:rPr>
          <w:rFonts w:ascii="Times New Roman" w:cs="Times New Roman" w:eastAsia="Times New Roman" w:hAnsi="Times New Roman"/>
          <w:b w:val="false"/>
          <w:bCs w:val="false"/>
          <w:sz w:val="22"/>
          <w:szCs w:val="22"/>
        </w:rPr>
        <w:t xml:space="preserve"/>
      </w:r>
    </w:p>
    <w:p>
      <w:pPr>
        <w:spacing w:before="0" w:after="80"/>
        <w:jc w:val="both"/>
      </w:pPr>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 Bu bulgu, performans düzeyindeki null result ile tutarlıdır.</w:t>
      </w:r>
    </w:p>
    <w:p>
      <w:pPr>
        <w:spacing w:before="0" w:after="80"/>
        <w:jc w:val="both"/>
      </w:pPr>
      <w:r>
        <w:t>ppo_blind ise tüm rejimlerde m ≈ 0 civarında tekdüze bir politika sergilemektedir. Her iki ajan da rejimler arasında anlamlı bir politika ayrışması göstermemekte olup bu bulgu performans düzeyindeki null result ile tutarlıdır.</w:t>
      </w:r>
    </w:p>
    <w:p>
      <w:r>
        <w:br w:type="page"/>
      </w:r>
    </w:p>
    <w:p>
      <w:pPr>
        <w:pStyle w:val="Heading2"/>
      </w:pPr>
      <w:r>
        <w:t>4.3 Rejim Bazlı Performans Analizi</w:t>
      </w:r>
    </w:p>
    <w:p>
      <w:r>
        <w:t>Tablo 3, test döneminde üç volatilite rejiminde (L, M, H) elde edilen strateji performanslarını özetlemektedir. PPO ajanlarının her üç rejimde de AS ve naive baseline'larına kıyasla çok daha düşük envanter riski (inv_p99 ≈ 2 vs. 20–28) sergilediği görülmektedir. PPO-aware ve PPO-blind ajanları rejimler arasında benzer Sharpe oranları göstermiş; bu durum, rejim etiketinin ek bir performans avantajı sağlamadığını desteklemektedir. Dikkat çekici bir gözlem olarak, her iki PPO ajanı da düşük volatilite (L) rejiminde en yüksek Sharpe değerlerini kaydetmiştir.</w:t>
      </w:r>
    </w:p>
    <w:p>
      <w:r>
        <w:t>Tablo 3: Rejim Bazlı OOS Performansı (20 Tohum Ortalaması)</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Strateji</w:t>
            </w:r>
          </w:p>
        </w:tc>
        <w:tc>
          <w:tcPr>
            <w:tcW w:type="dxa" w:w="1814"/>
          </w:tcPr>
          <w:p>
            <w:r>
              <w:t>Rejim</w:t>
            </w:r>
          </w:p>
        </w:tc>
        <w:tc>
          <w:tcPr>
            <w:tcW w:type="dxa" w:w="1814"/>
          </w:tcPr>
          <w:p>
            <w:r>
              <w:t>Sharpe</w:t>
            </w:r>
          </w:p>
        </w:tc>
        <w:tc>
          <w:tcPr>
            <w:tcW w:type="dxa" w:w="1814"/>
          </w:tcPr>
          <w:p>
            <w:r>
              <w:t>inv_p99</w:t>
            </w:r>
          </w:p>
        </w:tc>
        <w:tc>
          <w:tcPr>
            <w:tcW w:type="dxa" w:w="1814"/>
          </w:tcPr>
          <w:p>
            <w:r>
              <w:t>Fill Rate</w:t>
            </w:r>
          </w:p>
        </w:tc>
      </w:tr>
      <w:tr>
        <w:tc>
          <w:tcPr>
            <w:tcW w:type="dxa" w:w="1814"/>
          </w:tcPr>
          <w:p>
            <w:r>
              <w:t>AS</w:t>
            </w:r>
          </w:p>
        </w:tc>
        <w:tc>
          <w:tcPr>
            <w:tcW w:type="dxa" w:w="1814"/>
          </w:tcPr>
          <w:p>
            <w:r>
              <w:t>L</w:t>
            </w:r>
          </w:p>
        </w:tc>
        <w:tc>
          <w:tcPr>
            <w:tcW w:type="dxa" w:w="1814"/>
          </w:tcPr>
          <w:p>
            <w:r>
              <w:t>0.330</w:t>
            </w:r>
          </w:p>
        </w:tc>
        <w:tc>
          <w:tcPr>
            <w:tcW w:type="dxa" w:w="1814"/>
          </w:tcPr>
          <w:p>
            <w:r>
              <w:t>22.26</w:t>
            </w:r>
          </w:p>
        </w:tc>
        <w:tc>
          <w:tcPr>
            <w:tcW w:type="dxa" w:w="1814"/>
          </w:tcPr>
          <w:p>
            <w:r>
              <w:t>0.404</w:t>
            </w:r>
          </w:p>
        </w:tc>
      </w:tr>
      <w:tr>
        <w:tc>
          <w:tcPr>
            <w:tcW w:type="dxa" w:w="1814"/>
          </w:tcPr>
          <w:p>
            <w:r>
              <w:t>AS</w:t>
            </w:r>
          </w:p>
        </w:tc>
        <w:tc>
          <w:tcPr>
            <w:tcW w:type="dxa" w:w="1814"/>
          </w:tcPr>
          <w:p>
            <w:r>
              <w:t>M</w:t>
            </w:r>
          </w:p>
        </w:tc>
        <w:tc>
          <w:tcPr>
            <w:tcW w:type="dxa" w:w="1814"/>
          </w:tcPr>
          <w:p>
            <w:r>
              <w:t>0.197</w:t>
            </w:r>
          </w:p>
        </w:tc>
        <w:tc>
          <w:tcPr>
            <w:tcW w:type="dxa" w:w="1814"/>
          </w:tcPr>
          <w:p>
            <w:r>
              <w:t>27.49</w:t>
            </w:r>
          </w:p>
        </w:tc>
        <w:tc>
          <w:tcPr>
            <w:tcW w:type="dxa" w:w="1814"/>
          </w:tcPr>
          <w:p>
            <w:r>
              <w:t>0.438</w:t>
            </w:r>
          </w:p>
        </w:tc>
      </w:tr>
      <w:tr>
        <w:tc>
          <w:tcPr>
            <w:tcW w:type="dxa" w:w="1814"/>
          </w:tcPr>
          <w:p>
            <w:r>
              <w:t>AS</w:t>
            </w:r>
          </w:p>
        </w:tc>
        <w:tc>
          <w:tcPr>
            <w:tcW w:type="dxa" w:w="1814"/>
          </w:tcPr>
          <w:p>
            <w:r>
              <w:t>H</w:t>
            </w:r>
          </w:p>
        </w:tc>
        <w:tc>
          <w:tcPr>
            <w:tcW w:type="dxa" w:w="1814"/>
          </w:tcPr>
          <w:p>
            <w:r>
              <w:t>0.038</w:t>
            </w:r>
          </w:p>
        </w:tc>
        <w:tc>
          <w:tcPr>
            <w:tcW w:type="dxa" w:w="1814"/>
          </w:tcPr>
          <w:p>
            <w:r>
              <w:t>27.66</w:t>
            </w:r>
          </w:p>
        </w:tc>
        <w:tc>
          <w:tcPr>
            <w:tcW w:type="dxa" w:w="1814"/>
          </w:tcPr>
          <w:p>
            <w:r>
              <w:t>0.497</w:t>
            </w:r>
          </w:p>
        </w:tc>
      </w:tr>
      <w:tr>
        <w:tc>
          <w:tcPr>
            <w:tcW w:type="dxa" w:w="1814"/>
          </w:tcPr>
          <w:p>
            <w:r>
              <w:t>naive</w:t>
            </w:r>
          </w:p>
        </w:tc>
        <w:tc>
          <w:tcPr>
            <w:tcW w:type="dxa" w:w="1814"/>
          </w:tcPr>
          <w:p>
            <w:r>
              <w:t>L</w:t>
            </w:r>
          </w:p>
        </w:tc>
        <w:tc>
          <w:tcPr>
            <w:tcW w:type="dxa" w:w="1814"/>
          </w:tcPr>
          <w:p>
            <w:r>
              <w:t>0.269</w:t>
            </w:r>
          </w:p>
        </w:tc>
        <w:tc>
          <w:tcPr>
            <w:tcW w:type="dxa" w:w="1814"/>
          </w:tcPr>
          <w:p>
            <w:r>
              <w:t>16.35</w:t>
            </w:r>
          </w:p>
        </w:tc>
        <w:tc>
          <w:tcPr>
            <w:tcW w:type="dxa" w:w="1814"/>
          </w:tcPr>
          <w:p>
            <w:r>
              <w:t>0.105</w:t>
            </w:r>
          </w:p>
        </w:tc>
      </w:tr>
      <w:tr>
        <w:tc>
          <w:tcPr>
            <w:tcW w:type="dxa" w:w="1814"/>
          </w:tcPr>
          <w:p>
            <w:r>
              <w:t>naive</w:t>
            </w:r>
          </w:p>
        </w:tc>
        <w:tc>
          <w:tcPr>
            <w:tcW w:type="dxa" w:w="1814"/>
          </w:tcPr>
          <w:p>
            <w:r>
              <w:t>M</w:t>
            </w:r>
          </w:p>
        </w:tc>
        <w:tc>
          <w:tcPr>
            <w:tcW w:type="dxa" w:w="1814"/>
          </w:tcPr>
          <w:p>
            <w:r>
              <w:t>0.150</w:t>
            </w:r>
          </w:p>
        </w:tc>
        <w:tc>
          <w:tcPr>
            <w:tcW w:type="dxa" w:w="1814"/>
          </w:tcPr>
          <w:p>
            <w:r>
              <w:t>18.87</w:t>
            </w:r>
          </w:p>
        </w:tc>
        <w:tc>
          <w:tcPr>
            <w:tcW w:type="dxa" w:w="1814"/>
          </w:tcPr>
          <w:p>
            <w:r>
              <w:t>0.115</w:t>
            </w:r>
          </w:p>
        </w:tc>
      </w:tr>
      <w:tr>
        <w:tc>
          <w:tcPr>
            <w:tcW w:type="dxa" w:w="1814"/>
          </w:tcPr>
          <w:p>
            <w:r>
              <w:t>naive</w:t>
            </w:r>
          </w:p>
        </w:tc>
        <w:tc>
          <w:tcPr>
            <w:tcW w:type="dxa" w:w="1814"/>
          </w:tcPr>
          <w:p>
            <w:r>
              <w:t>H</w:t>
            </w:r>
          </w:p>
        </w:tc>
        <w:tc>
          <w:tcPr>
            <w:tcW w:type="dxa" w:w="1814"/>
          </w:tcPr>
          <w:p>
            <w:r>
              <w:t>0.143</w:t>
            </w:r>
          </w:p>
        </w:tc>
        <w:tc>
          <w:tcPr>
            <w:tcW w:type="dxa" w:w="1814"/>
          </w:tcPr>
          <w:p>
            <w:r>
              <w:t>19.20</w:t>
            </w:r>
          </w:p>
        </w:tc>
        <w:tc>
          <w:tcPr>
            <w:tcW w:type="dxa" w:w="1814"/>
          </w:tcPr>
          <w:p>
            <w:r>
              <w:t>0.143</w:t>
            </w:r>
          </w:p>
        </w:tc>
      </w:tr>
      <w:tr>
        <w:tc>
          <w:tcPr>
            <w:tcW w:type="dxa" w:w="1814"/>
          </w:tcPr>
          <w:p>
            <w:r>
              <w:t>PPO-aware</w:t>
            </w:r>
          </w:p>
        </w:tc>
        <w:tc>
          <w:tcPr>
            <w:tcW w:type="dxa" w:w="1814"/>
          </w:tcPr>
          <w:p>
            <w:r>
              <w:t>L</w:t>
            </w:r>
          </w:p>
        </w:tc>
        <w:tc>
          <w:tcPr>
            <w:tcW w:type="dxa" w:w="1814"/>
          </w:tcPr>
          <w:p>
            <w:r>
              <w:t>0.927</w:t>
            </w:r>
          </w:p>
        </w:tc>
        <w:tc>
          <w:tcPr>
            <w:tcW w:type="dxa" w:w="1814"/>
          </w:tcPr>
          <w:p>
            <w:r>
              <w:t>1.85</w:t>
            </w:r>
          </w:p>
        </w:tc>
        <w:tc>
          <w:tcPr>
            <w:tcW w:type="dxa" w:w="1814"/>
          </w:tcPr>
          <w:p>
            <w:r>
              <w:t>0.226</w:t>
            </w:r>
          </w:p>
        </w:tc>
      </w:tr>
      <w:tr>
        <w:tc>
          <w:tcPr>
            <w:tcW w:type="dxa" w:w="1814"/>
          </w:tcPr>
          <w:p>
            <w:r>
              <w:t>PPO-aware</w:t>
            </w:r>
          </w:p>
        </w:tc>
        <w:tc>
          <w:tcPr>
            <w:tcW w:type="dxa" w:w="1814"/>
          </w:tcPr>
          <w:p>
            <w:r>
              <w:t>M</w:t>
            </w:r>
          </w:p>
        </w:tc>
        <w:tc>
          <w:tcPr>
            <w:tcW w:type="dxa" w:w="1814"/>
          </w:tcPr>
          <w:p>
            <w:r>
              <w:t>0.799</w:t>
            </w:r>
          </w:p>
        </w:tc>
        <w:tc>
          <w:tcPr>
            <w:tcW w:type="dxa" w:w="1814"/>
          </w:tcPr>
          <w:p>
            <w:r>
              <w:t>1.60</w:t>
            </w:r>
          </w:p>
        </w:tc>
        <w:tc>
          <w:tcPr>
            <w:tcW w:type="dxa" w:w="1814"/>
          </w:tcPr>
          <w:p>
            <w:r>
              <w:t>0.225</w:t>
            </w:r>
          </w:p>
        </w:tc>
      </w:tr>
      <w:tr>
        <w:tc>
          <w:tcPr>
            <w:tcW w:type="dxa" w:w="1814"/>
          </w:tcPr>
          <w:p>
            <w:r>
              <w:t>PPO-aware</w:t>
            </w:r>
          </w:p>
        </w:tc>
        <w:tc>
          <w:tcPr>
            <w:tcW w:type="dxa" w:w="1814"/>
          </w:tcPr>
          <w:p>
            <w:r>
              <w:t>H</w:t>
            </w:r>
          </w:p>
        </w:tc>
        <w:tc>
          <w:tcPr>
            <w:tcW w:type="dxa" w:w="1814"/>
          </w:tcPr>
          <w:p>
            <w:r>
              <w:t>0.464</w:t>
            </w:r>
          </w:p>
        </w:tc>
        <w:tc>
          <w:tcPr>
            <w:tcW w:type="dxa" w:w="1814"/>
          </w:tcPr>
          <w:p>
            <w:r>
              <w:t>1.79</w:t>
            </w:r>
          </w:p>
        </w:tc>
        <w:tc>
          <w:tcPr>
            <w:tcW w:type="dxa" w:w="1814"/>
          </w:tcPr>
          <w:p>
            <w:r>
              <w:t>0.250</w:t>
            </w:r>
          </w:p>
        </w:tc>
      </w:tr>
      <w:tr>
        <w:tc>
          <w:tcPr>
            <w:tcW w:type="dxa" w:w="1814"/>
          </w:tcPr>
          <w:p>
            <w:r>
              <w:t>PPO-blind</w:t>
            </w:r>
          </w:p>
        </w:tc>
        <w:tc>
          <w:tcPr>
            <w:tcW w:type="dxa" w:w="1814"/>
          </w:tcPr>
          <w:p>
            <w:r>
              <w:t>L</w:t>
            </w:r>
          </w:p>
        </w:tc>
        <w:tc>
          <w:tcPr>
            <w:tcW w:type="dxa" w:w="1814"/>
          </w:tcPr>
          <w:p>
            <w:r>
              <w:t>0.924</w:t>
            </w:r>
          </w:p>
        </w:tc>
        <w:tc>
          <w:tcPr>
            <w:tcW w:type="dxa" w:w="1814"/>
          </w:tcPr>
          <w:p>
            <w:r>
              <w:t>2.00</w:t>
            </w:r>
          </w:p>
        </w:tc>
        <w:tc>
          <w:tcPr>
            <w:tcW w:type="dxa" w:w="1814"/>
          </w:tcPr>
          <w:p>
            <w:r>
              <w:t>0.220</w:t>
            </w:r>
          </w:p>
        </w:tc>
      </w:tr>
      <w:tr>
        <w:tc>
          <w:tcPr>
            <w:tcW w:type="dxa" w:w="1814"/>
          </w:tcPr>
          <w:p>
            <w:r>
              <w:t>PPO-blind</w:t>
            </w:r>
          </w:p>
        </w:tc>
        <w:tc>
          <w:tcPr>
            <w:tcW w:type="dxa" w:w="1814"/>
          </w:tcPr>
          <w:p>
            <w:r>
              <w:t>M</w:t>
            </w:r>
          </w:p>
        </w:tc>
        <w:tc>
          <w:tcPr>
            <w:tcW w:type="dxa" w:w="1814"/>
          </w:tcPr>
          <w:p>
            <w:r>
              <w:t>0.814</w:t>
            </w:r>
          </w:p>
        </w:tc>
        <w:tc>
          <w:tcPr>
            <w:tcW w:type="dxa" w:w="1814"/>
          </w:tcPr>
          <w:p>
            <w:r>
              <w:t>1.88</w:t>
            </w:r>
          </w:p>
        </w:tc>
        <w:tc>
          <w:tcPr>
            <w:tcW w:type="dxa" w:w="1814"/>
          </w:tcPr>
          <w:p>
            <w:r>
              <w:t>0.229</w:t>
            </w:r>
          </w:p>
        </w:tc>
      </w:tr>
      <w:tr>
        <w:tc>
          <w:tcPr>
            <w:tcW w:type="dxa" w:w="1814"/>
          </w:tcPr>
          <w:p>
            <w:r>
              <w:t>PPO-blind</w:t>
            </w:r>
          </w:p>
        </w:tc>
        <w:tc>
          <w:tcPr>
            <w:tcW w:type="dxa" w:w="1814"/>
          </w:tcPr>
          <w:p>
            <w:r>
              <w:t>H</w:t>
            </w:r>
          </w:p>
        </w:tc>
        <w:tc>
          <w:tcPr>
            <w:tcW w:type="dxa" w:w="1814"/>
          </w:tcPr>
          <w:p>
            <w:r>
              <w:t>0.526</w:t>
            </w:r>
          </w:p>
        </w:tc>
        <w:tc>
          <w:tcPr>
            <w:tcW w:type="dxa" w:w="1814"/>
          </w:tcPr>
          <w:p>
            <w:r>
              <w:t>1.91</w:t>
            </w:r>
          </w:p>
        </w:tc>
        <w:tc>
          <w:tcPr>
            <w:tcW w:type="dxa" w:w="1814"/>
          </w:tcPr>
          <w:p>
            <w:r>
              <w:t>0.252</w:t>
            </w:r>
          </w:p>
        </w:tc>
      </w:tr>
    </w:tbl>
    <w:p>
      <w:pPr>
        <w:pStyle w:val="Heading2"/>
        <w:spacing w:before="200" w:after="100"/>
      </w:pPr>
      <w:r>
        <w:rPr>
          <w:rFonts w:ascii="Times New Roman" w:cs="Times New Roman" w:eastAsia="Times New Roman" w:hAnsi="Times New Roman"/>
          <w:b/>
          <w:bCs/>
          <w:sz w:val="24"/>
          <w:szCs w:val="24"/>
        </w:rPr>
        <w:t xml:space="preserve">4.4 Detector Robustness Analizi</w:t>
      </w:r>
    </w:p>
    <w:p>
      <w:pPr>
        <w:spacing w:before="0" w:after="80"/>
        <w:jc w:val="both"/>
      </w:pPr>
      <w:r>
        <w:rPr>
          <w:rFonts w:ascii="Times New Roman" w:cs="Times New Roman" w:eastAsia="Times New Roman" w:hAnsi="Times New Roman"/>
          <w:sz w:val="24"/>
          <w:szCs w:val="24"/>
        </w:rPr>
        <w:t xml:space="preserve">Null sonucun rejim tespit kalitesine duyarlılığını değerlendirmek amacıyla üç farklı dedektör ile 20 tohumda yeniden analiz gerçekleştirilmiştir.</w:t>
      </w:r>
    </w:p>
    <w:p>
      <w:pPr>
        <w:spacing w:before="0" w:after="80"/>
        <w:jc w:val="both"/>
      </w:pPr>
      <w:r>
        <w:rPr>
          <w:rFonts w:ascii="Times New Roman" w:cs="Times New Roman" w:eastAsia="Times New Roman" w:hAnsi="Times New Roman"/>
          <w:sz w:val="24"/>
          <w:szCs w:val="24"/>
        </w:rPr>
        <w:t xml:space="preserve">Tablo 4: Detector Robustness — Ortalama Sharpe (20 Tohum)</w:t>
      </w:r>
    </w:p>
    <w:tbl>
      <w:tblPr>
        <w:tblW w:type="pct" w:w="5000"/>
        <w:tblBorders>
          <w:top w:val="single" w:color="000000" w:sz="4" w:space="0"/>
          <w:bottom w:val="single" w:color="000000" w:sz="4" w:space="0"/>
          <w:insideH w:val="single" w:color="000000" w:sz="4" w:space="0"/>
        </w:tblBorders>
      </w:tblPr>
      <w:tr>
        <w:tc>
          <w:tcPr>
            <w:tcW w:type="dxa" w:w="2400"/>
          </w:tcPr>
          <w:p>
            <w:r>
              <w:rPr>
                <w:rFonts w:ascii="Times New Roman" w:cs="Times New Roman" w:eastAsia="Times New Roman" w:hAnsi="Times New Roman"/>
                <w:b/>
                <w:bCs/>
                <w:sz w:val="24"/>
                <w:szCs w:val="24"/>
              </w:rPr>
              <w:t>Dedektör</w:t>
            </w:r>
          </w:p>
        </w:tc>
        <w:tc>
          <w:tcPr>
            <w:tcW w:type="dxa" w:w="1800"/>
          </w:tcPr>
          <w:p>
            <w:r>
              <w:rPr>
                <w:rFonts w:ascii="Times New Roman" w:cs="Times New Roman" w:eastAsia="Times New Roman" w:hAnsi="Times New Roman"/>
                <w:b/>
                <w:bCs/>
                <w:sz w:val="24"/>
                <w:szCs w:val="24"/>
              </w:rPr>
              <w:t>Doğruluk</w:t>
            </w:r>
          </w:p>
        </w:tc>
        <w:tc>
          <w:tcPr>
            <w:tcW w:type="dxa" w:w="1800"/>
          </w:tcPr>
          <w:p>
            <w:r>
              <w:rPr>
                <w:rFonts w:ascii="Times New Roman" w:cs="Times New Roman" w:eastAsia="Times New Roman" w:hAnsi="Times New Roman"/>
                <w:b/>
                <w:bCs/>
                <w:sz w:val="24"/>
                <w:szCs w:val="24"/>
              </w:rPr>
              <w:t>ppo_aware</w:t>
            </w:r>
          </w:p>
        </w:tc>
        <w:tc>
          <w:tcPr>
            <w:tcW w:type="dxa" w:w="1800"/>
          </w:tcPr>
          <w:p>
            <w:r>
              <w:rPr>
                <w:rFonts w:ascii="Times New Roman" w:cs="Times New Roman" w:eastAsia="Times New Roman" w:hAnsi="Times New Roman"/>
                <w:b/>
                <w:bCs/>
                <w:sz w:val="24"/>
                <w:szCs w:val="24"/>
              </w:rPr>
              <w:t>ppo_blind</w:t>
            </w:r>
          </w:p>
        </w:tc>
      </w:tr>
      <w:tr>
        <w:tc>
          <w:tcPr>
            <w:tcW w:type="dxa" w:w="2400"/>
          </w:tcPr>
          <w:p>
            <w:r>
              <w:rPr>
                <w:rFonts w:ascii="Times New Roman" w:cs="Times New Roman" w:eastAsia="Times New Roman" w:hAnsi="Times New Roman"/>
                <w:sz w:val="24"/>
                <w:szCs w:val="24"/>
              </w:rPr>
              <w:t>rv_baseline</w:t>
            </w:r>
          </w:p>
        </w:tc>
        <w:tc>
          <w:tcPr>
            <w:tcW w:type="dxa" w:w="1800"/>
          </w:tcPr>
          <w:p>
            <w:r>
              <w:rPr>
                <w:rFonts w:ascii="Times New Roman" w:cs="Times New Roman" w:eastAsia="Times New Roman" w:hAnsi="Times New Roman"/>
                <w:sz w:val="24"/>
                <w:szCs w:val="24"/>
              </w:rPr>
              <w:t>%60.7</w:t>
            </w:r>
          </w:p>
        </w:tc>
        <w:tc>
          <w:tcPr>
            <w:tcW w:type="dxa" w:w="1800"/>
          </w:tcPr>
          <w:p>
            <w:r>
              <w:rPr>
                <w:rFonts w:ascii="Times New Roman" w:cs="Times New Roman" w:eastAsia="Times New Roman" w:hAnsi="Times New Roman"/>
                <w:sz w:val="24"/>
                <w:szCs w:val="24"/>
              </w:rPr>
              <w:t>0.718</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rv_dwell</w:t>
            </w:r>
          </w:p>
        </w:tc>
        <w:tc>
          <w:tcPr>
            <w:tcW w:type="dxa" w:w="1800"/>
          </w:tcPr>
          <w:p>
            <w:r>
              <w:rPr>
                <w:rFonts w:ascii="Times New Roman" w:cs="Times New Roman" w:eastAsia="Times New Roman" w:hAnsi="Times New Roman"/>
                <w:sz w:val="24"/>
                <w:szCs w:val="24"/>
              </w:rPr>
              <w:t>%60.4</w:t>
            </w:r>
          </w:p>
        </w:tc>
        <w:tc>
          <w:tcPr>
            <w:tcW w:type="dxa" w:w="1800"/>
          </w:tcPr>
          <w:p>
            <w:r>
              <w:rPr>
                <w:rFonts w:ascii="Times New Roman" w:cs="Times New Roman" w:eastAsia="Times New Roman" w:hAnsi="Times New Roman"/>
                <w:sz w:val="24"/>
                <w:szCs w:val="24"/>
              </w:rPr>
              <w:t>0.716</w:t>
            </w:r>
          </w:p>
        </w:tc>
        <w:tc>
          <w:tcPr>
            <w:tcW w:type="dxa" w:w="1800"/>
          </w:tcPr>
          <w:p>
            <w:r>
              <w:rPr>
                <w:rFonts w:ascii="Times New Roman" w:cs="Times New Roman" w:eastAsia="Times New Roman" w:hAnsi="Times New Roman"/>
                <w:sz w:val="24"/>
                <w:szCs w:val="24"/>
              </w:rPr>
              <w:t>0.753</w:t>
            </w:r>
          </w:p>
        </w:tc>
      </w:tr>
      <w:tr>
        <w:tc>
          <w:tcPr>
            <w:tcW w:type="dxa" w:w="2400"/>
          </w:tcPr>
          <w:p>
            <w:r>
              <w:rPr>
                <w:rFonts w:ascii="Times New Roman" w:cs="Times New Roman" w:eastAsia="Times New Roman" w:hAnsi="Times New Roman"/>
                <w:sz w:val="24"/>
                <w:szCs w:val="24"/>
              </w:rPr>
              <w:t>HMM</w:t>
            </w:r>
          </w:p>
        </w:tc>
        <w:tc>
          <w:tcPr>
            <w:tcW w:type="dxa" w:w="1800"/>
          </w:tcPr>
          <w:p>
            <w:r>
              <w:rPr>
                <w:rFonts w:ascii="Times New Roman" w:cs="Times New Roman" w:eastAsia="Times New Roman" w:hAnsi="Times New Roman"/>
                <w:sz w:val="24"/>
                <w:szCs w:val="24"/>
              </w:rPr>
              <w:t>%81.8</w:t>
            </w:r>
          </w:p>
        </w:tc>
        <w:tc>
          <w:tcPr>
            <w:tcW w:type="dxa" w:w="1800"/>
          </w:tcPr>
          <w:p>
            <w:r>
              <w:rPr>
                <w:rFonts w:ascii="Times New Roman" w:cs="Times New Roman" w:eastAsia="Times New Roman" w:hAnsi="Times New Roman"/>
                <w:sz w:val="24"/>
                <w:szCs w:val="24"/>
              </w:rPr>
              <w:t>0.719</w:t>
            </w:r>
          </w:p>
        </w:tc>
        <w:tc>
          <w:tcPr>
            <w:tcW w:type="dxa" w:w="1800"/>
          </w:tcPr>
          <w:p>
            <w:r>
              <w:rPr>
                <w:rFonts w:ascii="Times New Roman" w:cs="Times New Roman" w:eastAsia="Times New Roman" w:hAnsi="Times New Roman"/>
                <w:sz w:val="24"/>
                <w:szCs w:val="24"/>
              </w:rPr>
              <w:t>0.753</w:t>
            </w:r>
          </w:p>
        </w:tc>
      </w:tr>
    </w:tbl>
    <w:p>
      <w:pPr>
        <w:spacing w:before="0" w:after="80"/>
        <w:jc w:val="both"/>
      </w:pPr>
      <w:r>
        <w:rPr>
          <w:rFonts w:ascii="Times New Roman" w:cs="Times New Roman" w:eastAsia="Times New Roman" w:hAnsi="Times New Roman"/>
          <w:sz w:val="24"/>
          <w:szCs w:val="24"/>
        </w:rPr>
        <w:t xml:space="preserve">Bulgular üç temel gözlemi ortaya koymaktadır. Birincisi, ppo_blind tüm dedektörlerde identik performans sergilemiştir (Sharpe = 0.753); bu beklenen bir sonuçtur, zira blind ajan rejim etiketlerini gözlem uzayına almamaktadır. İkincisi, ppo_aware tüm dedektörlerde ppo_blind’ın hafifçe altında kalmıştır; %81.8 doğruluklu HMM ile dahi bu örüntü değişmemiştir. Üçüncüsü, paired t-test sonuçları Sharpe metriğinde hiçbir dedektör için istatistiksel anlamlılık eşiğine ulaşmamıştır (rv_baseline: p=0.114, rv_dwell: p=0.110, HMM: p=0.082). Equity metriğinde ise tüm dedektörlerde ppo_blind lehine anlamlı fark gözlemlenmiştir (p &lt; 0.05). One-way ANOVA analizi, ppo_aware performansının dedektör seçimine göre anlamlı biçimde değişmediğini doğrulamaktadır (F=0.003, p=0.997).</w:t>
      </w:r>
    </w:p>
    <w:p>
      <w:pPr>
        <w:spacing w:before="0" w:after="80"/>
        <w:jc w:val="both"/>
      </w:pPr>
      <w:r>
        <w:rPr>
          <w:rFonts w:ascii="Times New Roman" w:cs="Times New Roman" w:eastAsia="Times New Roman" w:hAnsi="Times New Roman"/>
          <w:sz w:val="24"/>
          <w:szCs w:val="24"/>
        </w:rPr>
        <w:t xml:space="preserve">Bu bulgular, null sonucun zayıf tespit kalitesinden kaynaklanmadığını güçlü biçimde desteklemektedir. Gözlem uzayında hâlihazırda mevcut olan sigma_hat değişkeni, açık rejim etiketinin sağladığı bilgiyi örtük olarak içermektedir.</w:t>
      </w:r>
    </w:p>
    <w:p>
      <w:pPr>
        <w:pStyle w:val="Heading1"/>
        <w:spacing w:before="280" w:after="140"/>
      </w:pPr>
      <w:r>
        <w:rPr>
          <w:rFonts w:ascii="Times New Roman" w:cs="Times New Roman" w:eastAsia="Times New Roman" w:hAnsi="Times New Roman"/>
          <w:b/>
          <w:bCs/>
          <w:sz w:val="28"/>
          <w:szCs w:val="28"/>
        </w:rPr>
        <w:t xml:space="preserve">5. SONUÇ</w:t>
      </w:r>
    </w:p>
    <w:p>
      <w:pPr>
        <w:spacing w:before="0" w:after="80"/>
        <w:jc w:val="both"/>
      </w:pPr>
      <w:r>
        <w:rPr>
          <w:rFonts w:ascii="Times New Roman" w:cs="Times New Roman" w:eastAsia="Times New Roman" w:hAnsi="Times New Roman"/>
          <w:b w:val="false"/>
          <w:bCs w:val="false"/>
          <w:sz w:val="22"/>
          <w:szCs w:val="22"/>
        </w:rPr>
        <w:t xml:space="preserve">Bu çalışma, volatilite rejimleri altında pekiştirmeli öğrenme tabanlı piyasa yapıcılığını araştırmaktadır. Temel bulgular şu şekilde özetlenebilir:</w:t>
      </w:r>
    </w:p>
    <w:p>
      <w:pPr>
        <w:spacing w:before="0" w:after="80"/>
        <w:jc w:val="both"/>
      </w:pPr>
      <w:r>
        <w:rPr>
          <w:rFonts w:ascii="Times New Roman" w:cs="Times New Roman" w:eastAsia="Times New Roman" w:hAnsi="Times New Roman"/>
          <w:b w:val="false"/>
          <w:bCs w:val="false"/>
          <w:sz w:val="22"/>
          <w:szCs w:val="22"/>
        </w:rPr>
        <w:t xml:space="preserve">Birincisi, her iki PPO varyantı da Sharpe oranı açısından Avellaneda-Stoikov ve naif referans stratejilerini yaklaşık 6–7 kat geçmiştir. Bu üstünlüğün temel kaynağı, PPO’nun envanter riskini etkin biçimde yönetmesi ve inv_p99 ≈ 2 tick düzeyinde tutmasıdır.</w:t>
      </w:r>
    </w:p>
    <w:p>
      <w:pPr>
        <w:spacing w:before="0" w:after="80"/>
        <w:jc w:val="both"/>
      </w:pPr>
      <w:r>
        <w:t>İkincisi, rejim farkındalığı hipotezi istatistiksel olarak desteklenmemiştir. ppo_aware, Sharpe bazında 20 tohumun 11'inde, equity bazında ise 9'unda ppo_blind'ı geride bırakmış; ortalama performans farkı ihmal edilebilir düzeyde kalmıştır. Bu null sonuç için en güçlü açıklama, gözlem uzayında hali hazırda bulunan σ̂_t değerinin rejim bilgisini örtük olarak içermesi ve one-hot rejim kodlamasının yedekli bilgi sunmasıdır. Detector robustness deneyi bu yorumu desteklemektedir: rv_baseline (%60.7), rv_dwell (%60.4) ve HMM (%81.8) dedektörleri ile yinelenen analizde null sonuç tutarlı biçimde korunmuş; ANOVA testi dedektör seçiminin ppo_aware performansını anlamlı ölçüde etkilemediğini doğrulamıştır (F=0.003, p=0.997).</w:t>
      </w:r>
    </w:p>
    <w:p>
      <w:pPr>
        <w:spacing w:before="0" w:after="80"/>
        <w:jc w:val="both"/>
      </w:pPr>
      <w:r>
        <w:t>Üçüncüsü, ppo_aware davranışsal düzeyde sınırlı rejim farklılaşması göstermesine karşın bu farklılaşma performans avantajına dönüşmemiştir. Bu bulgu, davranışsal analizi performans metriklerinden bağımsız değerlendirmenin önemini vurgulamaktadır.</w:t>
      </w:r>
    </w:p>
    <w:p>
      <w:pPr>
        <w:spacing w:before="0" w:after="80"/>
        <w:jc w:val="both"/>
      </w:pPr>
      <w:r>
        <w:rPr>
          <w:rFonts w:ascii="Times New Roman" w:cs="Times New Roman" w:eastAsia="Times New Roman" w:hAnsi="Times New Roman"/>
          <w:b w:val="false"/>
          <w:bCs w:val="false"/>
          <w:sz w:val="22"/>
          <w:szCs w:val="22"/>
        </w:rPr>
        <w:t xml:space="preserve">Gelecek çalışmalar kapsamında şu yönler önerilmektedir:</w:t>
      </w:r>
    </w:p>
    <w:p>
      <w:pPr>
        <w:pStyle w:val="ListParagraph"/>
        <w:numPr>
          <w:ilvl w:val="0"/>
          <w:numId w:val="2"/>
        </w:numPr>
        <w:spacing w:after="60"/>
      </w:pPr>
      <w:r>
        <w:rPr>
          <w:rFonts w:ascii="Times New Roman" w:cs="Times New Roman" w:eastAsia="Times New Roman" w:hAnsi="Times New Roman"/>
          <w:sz w:val="22"/>
          <w:szCs w:val="22"/>
        </w:rPr>
        <w:t xml:space="preserve">(1) Rejim parametrelerini gözlem uzayından çıkararak bilgi fazlalığını giderme ve pure ablation tasarımı.</w:t>
      </w:r>
    </w:p>
    <w:p>
      <w:pPr>
        <w:pStyle w:val="ListParagraph"/>
        <w:numPr>
          <w:ilvl w:val="0"/>
          <w:numId w:val="2"/>
        </w:numPr>
        <w:spacing w:after="60"/>
      </w:pPr>
      <w:r>
        <w:rPr>
          <w:rFonts w:ascii="Times New Roman" w:cs="Times New Roman" w:eastAsia="Times New Roman" w:hAnsi="Times New Roman"/>
          <w:sz w:val="22"/>
          <w:szCs w:val="22"/>
        </w:rPr>
        <w:t xml:space="preserve">(2) Rejime koşullu ödül tasarımı — yüksek volatilite rejiminde envanter cezasının artırılması gibi mekanizmalar.</w:t>
      </w:r>
    </w:p>
    <w:p>
      <w:pPr>
        <w:pStyle w:val="ListParagraph"/>
        <w:numPr>
          <w:ilvl w:val="0"/>
          <w:numId w:val="2"/>
        </w:numPr>
        <w:spacing w:after="60"/>
      </w:pPr>
      <w:r>
        <w:rPr>
          <w:rFonts w:ascii="Times New Roman" w:cs="Times New Roman" w:eastAsia="Times New Roman" w:hAnsi="Times New Roman"/>
          <w:sz w:val="22"/>
          <w:szCs w:val="22"/>
        </w:rPr>
        <w:t xml:space="preserve">(3) Skew penalty ablasyonu (c=0 kontrol grubu dahil) ile eylem düzeyinde düzenlileştirmenin sistematik değerlendirmesi.</w:t>
      </w:r>
    </w:p>
    <w:p>
      <w:pPr>
        <w:pStyle w:val="ListParagraph"/>
        <w:numPr>
          <w:ilvl w:val="0"/>
          <w:numId w:val="2"/>
        </w:numPr>
        <w:spacing w:after="60"/>
      </w:pPr>
      <w:r>
        <w:rPr>
          <w:rFonts w:ascii="Times New Roman" w:cs="Times New Roman" w:eastAsia="Times New Roman" w:hAnsi="Times New Roman"/>
          <w:sz w:val="22"/>
          <w:szCs w:val="22"/>
        </w:rPr>
        <w:t xml:space="preserve">(4) Model yanlış belirleme (model misspecification) benchmark’ı — AS parametrelerinin rejime bağlı kılınması.</w:t>
      </w:r>
    </w:p>
    <w:p>
      <w:r>
        <w:br w:type="page"/>
      </w:r>
    </w:p>
    <w:p>
      <w:pPr>
        <w:pStyle w:val="Heading1"/>
        <w:spacing w:before="280" w:after="140"/>
      </w:pPr>
      <w:r>
        <w:rPr>
          <w:rFonts w:ascii="Times New Roman" w:cs="Times New Roman" w:eastAsia="Times New Roman" w:hAnsi="Times New Roman"/>
          <w:b/>
          <w:bCs/>
          <w:sz w:val="28"/>
          <w:szCs w:val="28"/>
        </w:rPr>
        <w:t xml:space="preserve">KAYNAKLAR</w:t>
      </w:r>
    </w:p>
    <w:p>
      <w:pPr>
        <w:spacing w:before="0" w:after="60"/>
        <w:ind w:left="360"/>
        <w:jc w:val="both"/>
      </w:pPr>
      <w:r>
        <w:rPr>
          <w:rFonts w:ascii="Times New Roman" w:cs="Times New Roman" w:eastAsia="Times New Roman" w:hAnsi="Times New Roman"/>
          <w:b w:val="false"/>
          <w:bCs w:val="false"/>
          <w:sz w:val="22"/>
          <w:szCs w:val="22"/>
        </w:rPr>
        <w:t xml:space="preserve">[1] Avellaneda, M., &amp; Stoikov, S. (2008). High-frequency trading in a limit order book. Quantitative Finance, 8(3), 217-224.</w:t>
      </w:r>
    </w:p>
    <w:p>
      <w:pPr>
        <w:spacing w:before="0" w:after="60"/>
        <w:ind w:left="360"/>
        <w:jc w:val="both"/>
      </w:pPr>
      <w:r>
        <w:rPr>
          <w:rFonts w:ascii="Times New Roman" w:cs="Times New Roman" w:eastAsia="Times New Roman" w:hAnsi="Times New Roman"/>
          <w:b w:val="false"/>
          <w:bCs w:val="false"/>
          <w:sz w:val="22"/>
          <w:szCs w:val="22"/>
        </w:rPr>
        <w:t xml:space="preserve">[2] Schulman, J., Wolski, F., Dhariwal, P., Radford, A., &amp; Klimov, O. (2017). Proximal policy optimization algorithms. arXiv preprint arXiv:1707.06347.</w:t>
      </w:r>
    </w:p>
    <w:p>
      <w:pPr>
        <w:spacing w:before="0" w:after="60"/>
        <w:ind w:left="360"/>
        <w:jc w:val="both"/>
      </w:pPr>
      <w:r>
        <w:rPr>
          <w:rFonts w:ascii="Times New Roman" w:cs="Times New Roman" w:eastAsia="Times New Roman" w:hAnsi="Times New Roman"/>
          <w:b w:val="false"/>
          <w:bCs w:val="false"/>
          <w:sz w:val="22"/>
          <w:szCs w:val="22"/>
        </w:rPr>
        <w:t xml:space="preserve">[3] Spooner, T., Fearnley, J., Savani, R., &amp; Koukorinis, A. (2018). Market making via reinforcement learning. In Proceedings of the 17th International Conference on Autonomous Agents and MultiAgent Systems (pp. 434-442).</w:t>
      </w:r>
    </w:p>
    <w:p>
      <w:pPr>
        <w:spacing w:before="0" w:after="60"/>
        <w:ind w:left="360"/>
        <w:jc w:val="both"/>
      </w:pPr>
      <w:r>
        <w:rPr>
          <w:rFonts w:ascii="Times New Roman" w:cs="Times New Roman" w:eastAsia="Times New Roman" w:hAnsi="Times New Roman"/>
          <w:b w:val="false"/>
          <w:bCs w:val="false"/>
          <w:sz w:val="22"/>
          <w:szCs w:val="22"/>
        </w:rPr>
        <w:t xml:space="preserve">[4] Raffin, A., Hill, A., Gleave, A., Kanervisto, A., Ernestus, M., &amp; Dormann, N. (2021). Stable-baselines3: Reliable reinforcement learning implementations. Journal of Machine Learning Research, 22(268), 1-8.</w:t>
      </w:r>
    </w:p>
    <w:p>
      <w:pPr>
        <w:spacing w:before="0" w:after="60"/>
        <w:ind w:left="360"/>
        <w:jc w:val="both"/>
      </w:pPr>
      <w:r>
        <w:rPr>
          <w:rFonts w:ascii="Times New Roman" w:cs="Times New Roman" w:eastAsia="Times New Roman" w:hAnsi="Times New Roman"/>
          <w:b w:val="false"/>
          <w:bCs w:val="false"/>
          <w:sz w:val="22"/>
          <w:szCs w:val="22"/>
        </w:rPr>
        <w:t xml:space="preserve">[5] Cont, R. (2001). Empirical characteristics of asset returns: Stylized facts. Quantitative Finance, 1(2), 223-236.</w:t>
      </w:r>
    </w:p>
    <w:p>
      <w:pPr>
        <w:spacing w:before="0" w:after="60"/>
        <w:ind w:left="360"/>
        <w:jc w:val="both"/>
      </w:pPr>
      <w:r>
        <w:rPr>
          <w:rFonts w:ascii="Times New Roman" w:cs="Times New Roman" w:eastAsia="Times New Roman" w:hAnsi="Times New Roman"/>
          <w:b w:val="false"/>
          <w:bCs w:val="false"/>
          <w:sz w:val="22"/>
          <w:szCs w:val="22"/>
        </w:rPr>
        <w:t xml:space="preserve">[6] Hamilton, J. D. (1989). A new approach to the economic analysis of nonstationary time series and the business cycle. Econometrica, 57(2), 357-384.</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2026-03-04T23:14:09.953Z</dcterms:created>
  <dcterms:modified xsi:type="dcterms:W3CDTF">2026-03-04T23:14:09.954Z</dcterms:modified>
</cp:coreProperties>
</file>

<file path=docProps/custom.xml><?xml version="1.0" encoding="utf-8"?>
<Properties xmlns="http://schemas.openxmlformats.org/officeDocument/2006/custom-properties" xmlns:vt="http://schemas.openxmlformats.org/officeDocument/2006/docPropsVTypes"/>
</file>