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kronolojik eğitim/test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Walk-Forward Validation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 geçmişten geleceğe doğru bölerek eğitim ve test kümelerini oluşturan değerlendirme yöntemi. Look-ahead bias’ı önler.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kronolojik eğitim/test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pPr>
        <w:spacing w:before="0" w:after="1200"/>
        <w:jc w:val="both"/>
      </w:pPr>
      <w:r>
        <w:rPr>
          <w:rFonts w:ascii="Times New Roman" w:cs="Times New Roman" w:eastAsia="Times New Roman" w:hAnsi="Times New Roman"/>
          <w:sz w:val="22"/>
          <w:szCs w:val="22"/>
        </w:rPr>
        <w:t xml:space="preserve">(4) Detector robustness analizi gerçekleştirilmiş; rv_baseline, rv_dwell ve HMM dedektörleri ile 20 tohumda yinelenen deney, null sonucun dedektör seçiminden bağımsız olduğunu doğrulamıştır.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kronolojik eğitim/test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 Mutlak equity açısından AS (5.05) ve naif (4.49) stratejilerin PPO varyantlarından (4.10–4.42) yüksek görünmesi, bu stratejilerin geniş spreadlerden yüksek brüt gelir elde etmesinden kaynaklanmaktadır; ancak söz konusu gelir yüksek envanter riski pahasına elde edilmektedir. PPO’nun üstünlüğü mutlak getiri değil, risk-düzeltmeli performans (Sharpe) ve tutarlılık (düşük equity std) boyutlarında ortaya çıkmaktadır.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düşüktür. Bu durum, PPO’nun yalnızca daha yüksek Sharpe oranı değil, aynı zamanda daha tutarlı ve güvenilir bir performans profili sunduğuna işaret etmektedir.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Not: Rejim bazlı kırılım, gerçek rejim etiketleri (regime_true) üzerinden hesaplanmıştır; ajan ise yalnızca tahmini rejimi (regime_hat) gözlemlemektedir. Bu ayrım, tablo değerlerinin teorik üst sınırı temsil ettiğini ima etmektedir.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